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0EC2D" w14:textId="6EA9994C" w:rsidR="001337AA" w:rsidRPr="0074506D" w:rsidRDefault="001337AA" w:rsidP="000D2160">
      <w:pPr>
        <w:jc w:val="center"/>
        <w:rPr>
          <w:rFonts w:ascii="Arial" w:hAnsi="Arial" w:cs="Arial"/>
        </w:rPr>
      </w:pPr>
      <w:bookmarkStart w:id="0" w:name="_GoBack"/>
      <w:bookmarkEnd w:id="0"/>
    </w:p>
    <w:p w14:paraId="7AC16172" w14:textId="4EF64A89" w:rsidR="000D2160" w:rsidRPr="0074506D" w:rsidRDefault="000D2160" w:rsidP="006D4FB8">
      <w:pPr>
        <w:jc w:val="right"/>
        <w:rPr>
          <w:rFonts w:ascii="Arial" w:hAnsi="Arial" w:cs="Arial"/>
          <w:b/>
          <w:sz w:val="28"/>
        </w:rPr>
      </w:pPr>
    </w:p>
    <w:p w14:paraId="69046218" w14:textId="77777777" w:rsidR="00CE65A9" w:rsidRPr="0074506D" w:rsidRDefault="00CE65A9" w:rsidP="00380F5D">
      <w:pPr>
        <w:spacing w:after="0"/>
        <w:jc w:val="center"/>
        <w:rPr>
          <w:rFonts w:ascii="Arial" w:hAnsi="Arial" w:cs="Arial"/>
          <w:b/>
          <w:sz w:val="28"/>
        </w:rPr>
      </w:pPr>
    </w:p>
    <w:p w14:paraId="00241BD5" w14:textId="77777777" w:rsidR="00380F5D" w:rsidRPr="0074506D" w:rsidRDefault="00380F5D" w:rsidP="00380F5D">
      <w:pPr>
        <w:spacing w:after="0"/>
        <w:jc w:val="center"/>
        <w:rPr>
          <w:rFonts w:ascii="Arial" w:hAnsi="Arial" w:cs="Arial"/>
          <w:b/>
          <w:sz w:val="28"/>
        </w:rPr>
      </w:pPr>
    </w:p>
    <w:p w14:paraId="71464D48" w14:textId="77777777" w:rsidR="000D2160" w:rsidRPr="0074506D" w:rsidRDefault="000D2160" w:rsidP="00380F5D">
      <w:pPr>
        <w:spacing w:after="0"/>
        <w:jc w:val="center"/>
        <w:rPr>
          <w:rFonts w:ascii="Arial" w:hAnsi="Arial" w:cs="Arial"/>
          <w:b/>
          <w:sz w:val="28"/>
        </w:rPr>
      </w:pPr>
      <w:r w:rsidRPr="0074506D">
        <w:rPr>
          <w:rFonts w:ascii="Arial" w:hAnsi="Arial" w:cs="Arial"/>
          <w:b/>
          <w:sz w:val="28"/>
        </w:rPr>
        <w:t>POSITION DESCRIPTION</w:t>
      </w:r>
    </w:p>
    <w:p w14:paraId="310FB44D" w14:textId="77777777" w:rsidR="000D2160" w:rsidRPr="0074506D" w:rsidRDefault="000D2160" w:rsidP="00380F5D">
      <w:pPr>
        <w:spacing w:after="0"/>
        <w:jc w:val="center"/>
        <w:rPr>
          <w:rFonts w:ascii="Arial" w:hAnsi="Arial" w:cs="Arial"/>
          <w:b/>
          <w:sz w:val="28"/>
        </w:rPr>
      </w:pPr>
    </w:p>
    <w:tbl>
      <w:tblPr>
        <w:tblStyle w:val="TableGrid"/>
        <w:tblW w:w="0" w:type="auto"/>
        <w:tblLook w:val="04A0" w:firstRow="1" w:lastRow="0" w:firstColumn="1" w:lastColumn="0" w:noHBand="0" w:noVBand="1"/>
      </w:tblPr>
      <w:tblGrid>
        <w:gridCol w:w="3402"/>
        <w:gridCol w:w="5614"/>
      </w:tblGrid>
      <w:tr w:rsidR="000D2160" w:rsidRPr="0074506D" w14:paraId="76D077D3" w14:textId="77777777" w:rsidTr="000D2160">
        <w:trPr>
          <w:trHeight w:val="444"/>
        </w:trPr>
        <w:tc>
          <w:tcPr>
            <w:tcW w:w="9016" w:type="dxa"/>
            <w:gridSpan w:val="2"/>
            <w:tcBorders>
              <w:left w:val="nil"/>
              <w:bottom w:val="single" w:sz="4" w:space="0" w:color="auto"/>
              <w:right w:val="nil"/>
            </w:tcBorders>
            <w:shd w:val="clear" w:color="auto" w:fill="F2F2F2" w:themeFill="background1" w:themeFillShade="F2"/>
            <w:vAlign w:val="center"/>
          </w:tcPr>
          <w:p w14:paraId="4284AC3D" w14:textId="77777777" w:rsidR="000D2160" w:rsidRPr="0074506D" w:rsidRDefault="000D2160" w:rsidP="00380F5D">
            <w:pPr>
              <w:rPr>
                <w:rFonts w:ascii="Arial" w:hAnsi="Arial" w:cs="Arial"/>
                <w:b/>
                <w:sz w:val="20"/>
                <w:szCs w:val="20"/>
              </w:rPr>
            </w:pPr>
            <w:r w:rsidRPr="0074506D">
              <w:rPr>
                <w:rFonts w:ascii="Arial" w:hAnsi="Arial" w:cs="Arial"/>
                <w:b/>
                <w:sz w:val="20"/>
                <w:szCs w:val="20"/>
              </w:rPr>
              <w:t>Position Details</w:t>
            </w:r>
          </w:p>
        </w:tc>
      </w:tr>
      <w:tr w:rsidR="000D2160" w:rsidRPr="0074506D" w14:paraId="35ED6797" w14:textId="77777777" w:rsidTr="000D2160">
        <w:trPr>
          <w:trHeight w:val="340"/>
        </w:trPr>
        <w:tc>
          <w:tcPr>
            <w:tcW w:w="3402" w:type="dxa"/>
            <w:tcBorders>
              <w:left w:val="nil"/>
              <w:right w:val="nil"/>
            </w:tcBorders>
            <w:vAlign w:val="center"/>
          </w:tcPr>
          <w:p w14:paraId="3691C76C" w14:textId="77777777" w:rsidR="000D2160" w:rsidRPr="0074506D" w:rsidRDefault="000D2160" w:rsidP="00380F5D">
            <w:pPr>
              <w:rPr>
                <w:rFonts w:ascii="Arial" w:hAnsi="Arial" w:cs="Arial"/>
                <w:sz w:val="20"/>
                <w:szCs w:val="20"/>
              </w:rPr>
            </w:pPr>
            <w:r w:rsidRPr="0074506D">
              <w:rPr>
                <w:rFonts w:ascii="Arial" w:hAnsi="Arial" w:cs="Arial"/>
                <w:sz w:val="20"/>
                <w:szCs w:val="20"/>
              </w:rPr>
              <w:t>Position Title</w:t>
            </w:r>
          </w:p>
        </w:tc>
        <w:tc>
          <w:tcPr>
            <w:tcW w:w="5614" w:type="dxa"/>
            <w:tcBorders>
              <w:left w:val="nil"/>
              <w:right w:val="nil"/>
            </w:tcBorders>
            <w:vAlign w:val="center"/>
          </w:tcPr>
          <w:p w14:paraId="119C581F" w14:textId="75C5D068" w:rsidR="000D2160" w:rsidRPr="0074506D" w:rsidRDefault="005317BD" w:rsidP="00380F5D">
            <w:pPr>
              <w:rPr>
                <w:rFonts w:ascii="Arial" w:hAnsi="Arial" w:cs="Arial"/>
                <w:sz w:val="20"/>
                <w:szCs w:val="20"/>
              </w:rPr>
            </w:pPr>
            <w:r>
              <w:rPr>
                <w:rFonts w:ascii="Arial" w:hAnsi="Arial" w:cs="Arial"/>
                <w:sz w:val="20"/>
              </w:rPr>
              <w:t>Administrator, Research and Innovation</w:t>
            </w:r>
          </w:p>
        </w:tc>
      </w:tr>
      <w:tr w:rsidR="000D2160" w:rsidRPr="0074506D" w14:paraId="2096054A" w14:textId="77777777" w:rsidTr="000D2160">
        <w:trPr>
          <w:trHeight w:val="340"/>
        </w:trPr>
        <w:tc>
          <w:tcPr>
            <w:tcW w:w="3402" w:type="dxa"/>
            <w:tcBorders>
              <w:left w:val="nil"/>
              <w:right w:val="nil"/>
            </w:tcBorders>
            <w:vAlign w:val="center"/>
          </w:tcPr>
          <w:p w14:paraId="6FABECE3" w14:textId="77777777" w:rsidR="000D2160" w:rsidRPr="0074506D" w:rsidRDefault="000D2160" w:rsidP="00380F5D">
            <w:pPr>
              <w:rPr>
                <w:rFonts w:ascii="Arial" w:hAnsi="Arial" w:cs="Arial"/>
                <w:sz w:val="20"/>
                <w:szCs w:val="20"/>
              </w:rPr>
            </w:pPr>
            <w:r w:rsidRPr="0074506D">
              <w:rPr>
                <w:rFonts w:ascii="Arial" w:hAnsi="Arial" w:cs="Arial"/>
                <w:sz w:val="20"/>
                <w:szCs w:val="20"/>
              </w:rPr>
              <w:t>Business Unit</w:t>
            </w:r>
          </w:p>
        </w:tc>
        <w:tc>
          <w:tcPr>
            <w:tcW w:w="5614" w:type="dxa"/>
            <w:tcBorders>
              <w:left w:val="nil"/>
              <w:right w:val="nil"/>
            </w:tcBorders>
            <w:vAlign w:val="center"/>
          </w:tcPr>
          <w:p w14:paraId="31ABA2EC" w14:textId="35188A01" w:rsidR="000D2160" w:rsidRPr="0074506D" w:rsidRDefault="00C551BE" w:rsidP="00380F5D">
            <w:pPr>
              <w:rPr>
                <w:rFonts w:ascii="Arial" w:hAnsi="Arial" w:cs="Arial"/>
                <w:sz w:val="20"/>
                <w:szCs w:val="20"/>
              </w:rPr>
            </w:pPr>
            <w:r>
              <w:rPr>
                <w:rFonts w:ascii="Arial" w:hAnsi="Arial" w:cs="Arial"/>
                <w:sz w:val="20"/>
              </w:rPr>
              <w:t>Teaching and Learning Directorate</w:t>
            </w:r>
          </w:p>
        </w:tc>
      </w:tr>
      <w:tr w:rsidR="000D2160" w:rsidRPr="0074506D" w14:paraId="7A1C0A37" w14:textId="77777777" w:rsidTr="000D2160">
        <w:trPr>
          <w:trHeight w:val="340"/>
        </w:trPr>
        <w:tc>
          <w:tcPr>
            <w:tcW w:w="3402" w:type="dxa"/>
            <w:tcBorders>
              <w:left w:val="nil"/>
              <w:right w:val="nil"/>
            </w:tcBorders>
            <w:vAlign w:val="center"/>
          </w:tcPr>
          <w:p w14:paraId="36559B49" w14:textId="77777777" w:rsidR="000D2160" w:rsidRPr="0074506D" w:rsidRDefault="000D2160" w:rsidP="00380F5D">
            <w:pPr>
              <w:rPr>
                <w:rFonts w:ascii="Arial" w:hAnsi="Arial" w:cs="Arial"/>
                <w:sz w:val="20"/>
                <w:szCs w:val="20"/>
              </w:rPr>
            </w:pPr>
            <w:r w:rsidRPr="0074506D">
              <w:rPr>
                <w:rFonts w:ascii="Arial" w:hAnsi="Arial" w:cs="Arial"/>
                <w:sz w:val="20"/>
                <w:szCs w:val="20"/>
              </w:rPr>
              <w:t>Reports to</w:t>
            </w:r>
          </w:p>
        </w:tc>
        <w:tc>
          <w:tcPr>
            <w:tcW w:w="5614" w:type="dxa"/>
            <w:tcBorders>
              <w:left w:val="nil"/>
              <w:right w:val="nil"/>
            </w:tcBorders>
            <w:vAlign w:val="center"/>
          </w:tcPr>
          <w:p w14:paraId="0D330A3A" w14:textId="6DBA33C4" w:rsidR="000D2160" w:rsidRPr="0074506D" w:rsidRDefault="00C551BE" w:rsidP="00380F5D">
            <w:pPr>
              <w:rPr>
                <w:rFonts w:ascii="Arial" w:hAnsi="Arial" w:cs="Arial"/>
                <w:sz w:val="20"/>
                <w:szCs w:val="20"/>
              </w:rPr>
            </w:pPr>
            <w:r w:rsidRPr="00C551BE">
              <w:rPr>
                <w:rFonts w:ascii="Arial" w:hAnsi="Arial" w:cs="Arial"/>
                <w:sz w:val="20"/>
                <w:szCs w:val="20"/>
              </w:rPr>
              <w:t xml:space="preserve">Team Leader, Teaching </w:t>
            </w:r>
            <w:r>
              <w:rPr>
                <w:rFonts w:ascii="Arial" w:hAnsi="Arial" w:cs="Arial"/>
                <w:sz w:val="20"/>
                <w:szCs w:val="20"/>
              </w:rPr>
              <w:t xml:space="preserve">Innovation &amp; </w:t>
            </w:r>
            <w:r w:rsidRPr="00C551BE">
              <w:rPr>
                <w:rFonts w:ascii="Arial" w:hAnsi="Arial" w:cs="Arial"/>
                <w:sz w:val="20"/>
                <w:szCs w:val="20"/>
              </w:rPr>
              <w:t>Research</w:t>
            </w:r>
          </w:p>
        </w:tc>
      </w:tr>
      <w:tr w:rsidR="000D2160" w:rsidRPr="0074506D" w14:paraId="34D8F624" w14:textId="77777777" w:rsidTr="000D2160">
        <w:trPr>
          <w:trHeight w:val="340"/>
        </w:trPr>
        <w:tc>
          <w:tcPr>
            <w:tcW w:w="3402" w:type="dxa"/>
            <w:tcBorders>
              <w:left w:val="nil"/>
              <w:right w:val="nil"/>
            </w:tcBorders>
            <w:vAlign w:val="center"/>
          </w:tcPr>
          <w:p w14:paraId="20C0D432" w14:textId="77777777" w:rsidR="000D2160" w:rsidRPr="0074506D" w:rsidRDefault="000D2160" w:rsidP="00380F5D">
            <w:pPr>
              <w:rPr>
                <w:rFonts w:ascii="Arial" w:hAnsi="Arial" w:cs="Arial"/>
                <w:sz w:val="20"/>
                <w:szCs w:val="20"/>
              </w:rPr>
            </w:pPr>
            <w:r w:rsidRPr="0074506D">
              <w:rPr>
                <w:rFonts w:ascii="Arial" w:hAnsi="Arial" w:cs="Arial"/>
                <w:sz w:val="20"/>
                <w:szCs w:val="20"/>
              </w:rPr>
              <w:t>Location</w:t>
            </w:r>
          </w:p>
        </w:tc>
        <w:tc>
          <w:tcPr>
            <w:tcW w:w="5614" w:type="dxa"/>
            <w:tcBorders>
              <w:left w:val="nil"/>
              <w:right w:val="nil"/>
            </w:tcBorders>
            <w:vAlign w:val="center"/>
          </w:tcPr>
          <w:p w14:paraId="20995184" w14:textId="6FFDEF51" w:rsidR="000D2160" w:rsidRPr="0074506D" w:rsidRDefault="00C551BE" w:rsidP="00380F5D">
            <w:pPr>
              <w:rPr>
                <w:rFonts w:ascii="Arial" w:hAnsi="Arial" w:cs="Arial"/>
                <w:sz w:val="20"/>
                <w:szCs w:val="20"/>
              </w:rPr>
            </w:pPr>
            <w:r>
              <w:rPr>
                <w:rFonts w:ascii="Arial" w:hAnsi="Arial" w:cs="Arial"/>
                <w:sz w:val="20"/>
              </w:rPr>
              <w:t>WelTec and Whitireia</w:t>
            </w:r>
          </w:p>
        </w:tc>
      </w:tr>
      <w:tr w:rsidR="000D2160" w:rsidRPr="0074506D" w14:paraId="6A370ADB" w14:textId="77777777" w:rsidTr="000D2160">
        <w:trPr>
          <w:trHeight w:val="340"/>
        </w:trPr>
        <w:tc>
          <w:tcPr>
            <w:tcW w:w="3402" w:type="dxa"/>
            <w:tcBorders>
              <w:left w:val="nil"/>
              <w:right w:val="nil"/>
            </w:tcBorders>
            <w:vAlign w:val="center"/>
          </w:tcPr>
          <w:p w14:paraId="02679DF8" w14:textId="77777777" w:rsidR="000D2160" w:rsidRPr="0074506D" w:rsidRDefault="000D2160" w:rsidP="00380F5D">
            <w:pPr>
              <w:rPr>
                <w:rFonts w:ascii="Arial" w:hAnsi="Arial" w:cs="Arial"/>
                <w:sz w:val="20"/>
                <w:szCs w:val="20"/>
              </w:rPr>
            </w:pPr>
            <w:r w:rsidRPr="0074506D">
              <w:rPr>
                <w:rFonts w:ascii="Arial" w:hAnsi="Arial" w:cs="Arial"/>
                <w:sz w:val="20"/>
                <w:szCs w:val="20"/>
              </w:rPr>
              <w:t>Date</w:t>
            </w:r>
          </w:p>
        </w:tc>
        <w:tc>
          <w:tcPr>
            <w:tcW w:w="5614" w:type="dxa"/>
            <w:tcBorders>
              <w:left w:val="nil"/>
              <w:right w:val="nil"/>
            </w:tcBorders>
            <w:vAlign w:val="center"/>
          </w:tcPr>
          <w:p w14:paraId="5C23F33B" w14:textId="78AF5D2A" w:rsidR="000D2160" w:rsidRPr="0074506D" w:rsidRDefault="00C551BE" w:rsidP="00380F5D">
            <w:pPr>
              <w:rPr>
                <w:rFonts w:ascii="Arial" w:hAnsi="Arial" w:cs="Arial"/>
                <w:sz w:val="20"/>
                <w:szCs w:val="20"/>
              </w:rPr>
            </w:pPr>
            <w:r>
              <w:rPr>
                <w:rFonts w:ascii="Arial" w:hAnsi="Arial" w:cs="Arial"/>
                <w:sz w:val="20"/>
              </w:rPr>
              <w:t>December 2019</w:t>
            </w:r>
          </w:p>
        </w:tc>
      </w:tr>
    </w:tbl>
    <w:p w14:paraId="422C3704" w14:textId="77777777" w:rsidR="000D2160" w:rsidRPr="0074506D" w:rsidRDefault="000D2160" w:rsidP="00380F5D">
      <w:pPr>
        <w:spacing w:after="0"/>
        <w:rPr>
          <w:rFonts w:ascii="Arial" w:hAnsi="Arial" w:cs="Arial"/>
          <w:sz w:val="20"/>
          <w:szCs w:val="20"/>
        </w:rPr>
      </w:pPr>
    </w:p>
    <w:p w14:paraId="2CF18FD3" w14:textId="77777777" w:rsidR="00380F5D" w:rsidRPr="0074506D" w:rsidRDefault="00380F5D"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112DFB9C" w14:textId="77777777" w:rsidTr="000D2160">
        <w:trPr>
          <w:trHeight w:val="442"/>
        </w:trPr>
        <w:tc>
          <w:tcPr>
            <w:tcW w:w="9016" w:type="dxa"/>
            <w:tcBorders>
              <w:left w:val="nil"/>
              <w:right w:val="nil"/>
            </w:tcBorders>
            <w:shd w:val="clear" w:color="auto" w:fill="F2F2F2" w:themeFill="background1" w:themeFillShade="F2"/>
            <w:vAlign w:val="center"/>
          </w:tcPr>
          <w:p w14:paraId="354773B0" w14:textId="1FF8ED8B" w:rsidR="000D2160" w:rsidRPr="0074506D" w:rsidRDefault="000D2160" w:rsidP="00380F5D">
            <w:pPr>
              <w:rPr>
                <w:rFonts w:ascii="Arial" w:hAnsi="Arial" w:cs="Arial"/>
                <w:b/>
                <w:sz w:val="20"/>
                <w:szCs w:val="20"/>
              </w:rPr>
            </w:pPr>
            <w:r w:rsidRPr="0074506D">
              <w:rPr>
                <w:rFonts w:ascii="Arial" w:hAnsi="Arial" w:cs="Arial"/>
                <w:b/>
                <w:sz w:val="20"/>
                <w:szCs w:val="20"/>
              </w:rPr>
              <w:t>WelTec &amp; Whitireia: Our Purpose</w:t>
            </w:r>
          </w:p>
        </w:tc>
      </w:tr>
    </w:tbl>
    <w:p w14:paraId="2C1A4CE4" w14:textId="77777777" w:rsidR="000D2160" w:rsidRPr="0074506D" w:rsidRDefault="000D2160" w:rsidP="00380F5D">
      <w:pPr>
        <w:spacing w:after="0"/>
        <w:jc w:val="both"/>
        <w:rPr>
          <w:rFonts w:ascii="Arial" w:eastAsia="Arial" w:hAnsi="Arial" w:cs="Arial"/>
          <w:sz w:val="20"/>
          <w:szCs w:val="20"/>
        </w:rPr>
      </w:pPr>
    </w:p>
    <w:p w14:paraId="080489AB"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Whitireia Community Polytechnic (Te Kura Matatini o Whitireia) and Wellington Institute of Technology (WelTec) (Te Whare Wānanga o te Awakairangi) are highly respected institutes of technology established under the Education Act. In 2012 the institutes formed a strategic partnership to build on the strengths of the existing institutions through greater collaboration. The key driver of the partnership is putting students first and together we serve around 15,000 students every year in the Wellington region and across New Zealand.</w:t>
      </w:r>
    </w:p>
    <w:p w14:paraId="1DD053AB" w14:textId="77777777" w:rsidR="00F40B03" w:rsidRPr="0074506D" w:rsidRDefault="00F40B03" w:rsidP="00380F5D">
      <w:pPr>
        <w:spacing w:after="0"/>
        <w:jc w:val="both"/>
        <w:rPr>
          <w:rFonts w:ascii="Arial" w:eastAsia="Arial" w:hAnsi="Arial" w:cs="Arial"/>
          <w:sz w:val="20"/>
          <w:szCs w:val="20"/>
        </w:rPr>
      </w:pPr>
    </w:p>
    <w:p w14:paraId="3122197F"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WelTec and Whitireia change lives. We provide professional, vocational, and foundation education where students learn the real skills they need to build careers and successful productive lives. We work collaboratively with employers to ensure our training is relevant and we contribute to the economic and social well-being of our communities by providing people with the applied and life skills needed for success. We do this for school leavers, those in employment who are upskilling, and those returning to work or changing careers. We offer all levels from foundation courses to specialised Masters degrees, and in a huge range of subjects – from arts to veterinary nursing.</w:t>
      </w:r>
    </w:p>
    <w:p w14:paraId="40C9E754" w14:textId="77777777" w:rsidR="00F40B03" w:rsidRPr="0074506D" w:rsidRDefault="00F40B03" w:rsidP="00380F5D">
      <w:pPr>
        <w:spacing w:after="0"/>
        <w:jc w:val="both"/>
        <w:rPr>
          <w:rFonts w:ascii="Arial" w:eastAsia="Arial" w:hAnsi="Arial" w:cs="Arial"/>
          <w:sz w:val="20"/>
          <w:szCs w:val="20"/>
        </w:rPr>
      </w:pPr>
    </w:p>
    <w:p w14:paraId="0438F5B5"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What we do is important and we are proud to be able to say that we do it very well – Whitireia and WelTec are consistently among the highest performing institutes of technology in New Zealand.</w:t>
      </w:r>
    </w:p>
    <w:p w14:paraId="68CE0CDA" w14:textId="77777777" w:rsidR="00380F5D" w:rsidRPr="0074506D" w:rsidRDefault="00380F5D"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59C63986" w14:textId="77777777" w:rsidTr="00AE2B28">
        <w:trPr>
          <w:trHeight w:val="442"/>
        </w:trPr>
        <w:tc>
          <w:tcPr>
            <w:tcW w:w="9016" w:type="dxa"/>
            <w:tcBorders>
              <w:left w:val="nil"/>
              <w:right w:val="nil"/>
            </w:tcBorders>
            <w:shd w:val="clear" w:color="auto" w:fill="F2F2F2" w:themeFill="background1" w:themeFillShade="F2"/>
            <w:vAlign w:val="center"/>
          </w:tcPr>
          <w:p w14:paraId="7C3A0B08" w14:textId="2695ADF5" w:rsidR="000D2160" w:rsidRPr="0074506D" w:rsidRDefault="00F40B03" w:rsidP="00380F5D">
            <w:pPr>
              <w:rPr>
                <w:rFonts w:ascii="Arial" w:hAnsi="Arial" w:cs="Arial"/>
                <w:b/>
                <w:sz w:val="20"/>
                <w:szCs w:val="20"/>
              </w:rPr>
            </w:pPr>
            <w:r w:rsidRPr="0074506D">
              <w:rPr>
                <w:rFonts w:ascii="Arial" w:hAnsi="Arial" w:cs="Arial"/>
                <w:b/>
                <w:sz w:val="20"/>
                <w:szCs w:val="20"/>
              </w:rPr>
              <w:t>Our Guiding Principles</w:t>
            </w:r>
          </w:p>
        </w:tc>
      </w:tr>
    </w:tbl>
    <w:p w14:paraId="2499C131" w14:textId="77777777" w:rsidR="000D2160" w:rsidRPr="0074506D" w:rsidRDefault="000D2160" w:rsidP="00380F5D">
      <w:pPr>
        <w:spacing w:after="0"/>
        <w:jc w:val="both"/>
        <w:rPr>
          <w:rFonts w:ascii="Arial" w:eastAsia="Arial" w:hAnsi="Arial" w:cs="Arial"/>
          <w:sz w:val="20"/>
          <w:szCs w:val="20"/>
        </w:rPr>
      </w:pPr>
    </w:p>
    <w:p w14:paraId="399543C7"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We put people at the heart of everything we do. Key principles that underpin the way we operate include:</w:t>
      </w:r>
    </w:p>
    <w:p w14:paraId="2E55EE01" w14:textId="7DC40EF1"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Te Tiriti o Waitangi</w:t>
      </w:r>
      <w:r w:rsidRPr="0074506D">
        <w:rPr>
          <w:rFonts w:ascii="Arial" w:eastAsia="Arial" w:hAnsi="Arial" w:cs="Arial"/>
          <w:sz w:val="20"/>
          <w:szCs w:val="20"/>
        </w:rPr>
        <w:t xml:space="preserve"> – </w:t>
      </w:r>
      <w:r w:rsidR="0074506D" w:rsidRPr="0074506D">
        <w:rPr>
          <w:rFonts w:ascii="Arial" w:eastAsia="Arial" w:hAnsi="Arial" w:cs="Arial"/>
          <w:sz w:val="20"/>
          <w:szCs w:val="20"/>
        </w:rPr>
        <w:t>understanding that Te Tiriti o Waitangi is foundational to every aspect of the education system and the relevant principles need to be operationalised in ou</w:t>
      </w:r>
      <w:r w:rsidR="0074506D">
        <w:rPr>
          <w:rFonts w:ascii="Arial" w:eastAsia="Arial" w:hAnsi="Arial" w:cs="Arial"/>
          <w:sz w:val="20"/>
          <w:szCs w:val="20"/>
        </w:rPr>
        <w:t>r</w:t>
      </w:r>
      <w:r w:rsidR="0074506D" w:rsidRPr="0074506D">
        <w:rPr>
          <w:rFonts w:ascii="Arial" w:eastAsia="Arial" w:hAnsi="Arial" w:cs="Arial"/>
          <w:sz w:val="20"/>
          <w:szCs w:val="20"/>
        </w:rPr>
        <w:t xml:space="preserve"> organisations</w:t>
      </w:r>
      <w:r w:rsidRPr="0074506D">
        <w:rPr>
          <w:rFonts w:ascii="Arial" w:eastAsia="Arial" w:hAnsi="Arial" w:cs="Arial"/>
          <w:sz w:val="20"/>
          <w:szCs w:val="20"/>
        </w:rPr>
        <w:t>.</w:t>
      </w:r>
    </w:p>
    <w:p w14:paraId="3198657F"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Flexibility</w:t>
      </w:r>
      <w:r w:rsidRPr="0074506D">
        <w:rPr>
          <w:rFonts w:ascii="Arial" w:eastAsia="Arial" w:hAnsi="Arial" w:cs="Arial"/>
          <w:sz w:val="20"/>
          <w:szCs w:val="20"/>
        </w:rPr>
        <w:t xml:space="preserve"> – providing for the diverse needs of learners through blended and adaptable teaching and learning models and engaging and valuing students as individuals with unique needs and aspirations.</w:t>
      </w:r>
    </w:p>
    <w:p w14:paraId="3E7A7767"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Community engagement</w:t>
      </w:r>
      <w:r w:rsidRPr="0074506D">
        <w:rPr>
          <w:rFonts w:ascii="Arial" w:eastAsia="Arial" w:hAnsi="Arial" w:cs="Arial"/>
          <w:sz w:val="20"/>
          <w:szCs w:val="20"/>
        </w:rPr>
        <w:t xml:space="preserve"> – engaging actively with Iwi and priority groups to encourage participation and success; alignment with secondary schools to provide seamless transitions into tertiary study; close involvement with local communities and economic bodies.</w:t>
      </w:r>
    </w:p>
    <w:p w14:paraId="7B438215" w14:textId="2CF8DA90"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Active collaboration</w:t>
      </w:r>
      <w:r w:rsidRPr="0074506D">
        <w:rPr>
          <w:rFonts w:ascii="Arial" w:eastAsia="Arial" w:hAnsi="Arial" w:cs="Arial"/>
          <w:sz w:val="20"/>
          <w:szCs w:val="20"/>
        </w:rPr>
        <w:t xml:space="preserve"> – working hand-in-hand with industry and employers to ensure the relevance of ITP education to the needs of industry. Providing real-world learning experiences for students, increasing industry productivity through sharing knowledge and research and collaborating with Government to align with broader New Zealand objectives and resources.</w:t>
      </w:r>
    </w:p>
    <w:p w14:paraId="67E24D66"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lastRenderedPageBreak/>
        <w:t>Leadership</w:t>
      </w:r>
      <w:r w:rsidRPr="0074506D">
        <w:rPr>
          <w:rFonts w:ascii="Arial" w:eastAsia="Arial" w:hAnsi="Arial" w:cs="Arial"/>
          <w:sz w:val="20"/>
          <w:szCs w:val="20"/>
        </w:rPr>
        <w:t xml:space="preserve"> – providing a framework and a vision for the ITP sector in New Zealand that garners support from education providers, Government, industry, learners, their influencers and the communities we serve.</w:t>
      </w:r>
    </w:p>
    <w:p w14:paraId="6FC01FF0"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Advancement of New Zealand</w:t>
      </w:r>
      <w:r w:rsidRPr="0074506D">
        <w:rPr>
          <w:rFonts w:ascii="Arial" w:eastAsia="Arial" w:hAnsi="Arial" w:cs="Arial"/>
          <w:sz w:val="20"/>
          <w:szCs w:val="20"/>
        </w:rPr>
        <w:t xml:space="preserve"> – providing measurable economic and social benefit to New Zealand through increasing capability and employability of students, actively driving growth in international student engagement (onshore and offshore), building economic resilience, entrepreneurial capability and a skill base that is transferable and transportable on a global basis.</w:t>
      </w:r>
    </w:p>
    <w:p w14:paraId="73F7DAC4" w14:textId="77777777" w:rsidR="000D2160" w:rsidRPr="0074506D" w:rsidRDefault="000D2160"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7471A5BA" w14:textId="77777777" w:rsidTr="00AE2B28">
        <w:trPr>
          <w:trHeight w:val="442"/>
        </w:trPr>
        <w:tc>
          <w:tcPr>
            <w:tcW w:w="9016" w:type="dxa"/>
            <w:tcBorders>
              <w:left w:val="nil"/>
              <w:right w:val="nil"/>
            </w:tcBorders>
            <w:shd w:val="clear" w:color="auto" w:fill="F2F2F2" w:themeFill="background1" w:themeFillShade="F2"/>
            <w:vAlign w:val="center"/>
          </w:tcPr>
          <w:p w14:paraId="06909A07" w14:textId="5EAF9CED" w:rsidR="000D2160" w:rsidRPr="0074506D" w:rsidRDefault="00F40B03" w:rsidP="00380F5D">
            <w:pPr>
              <w:rPr>
                <w:rFonts w:ascii="Arial" w:hAnsi="Arial" w:cs="Arial"/>
                <w:b/>
                <w:sz w:val="20"/>
                <w:szCs w:val="20"/>
              </w:rPr>
            </w:pPr>
            <w:r w:rsidRPr="0074506D">
              <w:rPr>
                <w:rFonts w:ascii="Arial" w:hAnsi="Arial" w:cs="Arial"/>
                <w:b/>
                <w:sz w:val="20"/>
                <w:szCs w:val="20"/>
              </w:rPr>
              <w:t>Position Purpose</w:t>
            </w:r>
          </w:p>
        </w:tc>
      </w:tr>
    </w:tbl>
    <w:p w14:paraId="46EFD0B3" w14:textId="77777777" w:rsidR="000D2160" w:rsidRPr="0074506D" w:rsidRDefault="000D2160" w:rsidP="00380F5D">
      <w:pPr>
        <w:spacing w:after="0"/>
        <w:jc w:val="both"/>
        <w:rPr>
          <w:rFonts w:ascii="Arial" w:eastAsia="Arial" w:hAnsi="Arial" w:cs="Arial"/>
          <w:sz w:val="20"/>
          <w:szCs w:val="20"/>
        </w:rPr>
      </w:pPr>
    </w:p>
    <w:p w14:paraId="050E8802" w14:textId="719B1EF1" w:rsidR="004538F4" w:rsidRPr="004538F4" w:rsidRDefault="004538F4" w:rsidP="004538F4">
      <w:pPr>
        <w:spacing w:after="0"/>
        <w:rPr>
          <w:rFonts w:ascii="Arial" w:eastAsia="Arial" w:hAnsi="Arial"/>
          <w:sz w:val="20"/>
          <w:szCs w:val="20"/>
          <w:lang w:val="en-US"/>
        </w:rPr>
      </w:pPr>
      <w:r w:rsidRPr="004538F4">
        <w:rPr>
          <w:rFonts w:ascii="Arial" w:eastAsia="Arial" w:hAnsi="Arial"/>
          <w:sz w:val="20"/>
          <w:szCs w:val="20"/>
          <w:lang w:val="en-US"/>
        </w:rPr>
        <w:t xml:space="preserve">The </w:t>
      </w:r>
      <w:r>
        <w:rPr>
          <w:rFonts w:ascii="Arial" w:eastAsia="Arial" w:hAnsi="Arial"/>
          <w:sz w:val="20"/>
          <w:szCs w:val="20"/>
          <w:lang w:val="en-US"/>
        </w:rPr>
        <w:t xml:space="preserve">Administrator, Research and Innovation </w:t>
      </w:r>
      <w:r w:rsidRPr="004538F4">
        <w:rPr>
          <w:rFonts w:ascii="Arial" w:eastAsia="Arial" w:hAnsi="Arial"/>
          <w:sz w:val="20"/>
          <w:szCs w:val="20"/>
          <w:lang w:val="en-US"/>
        </w:rPr>
        <w:t>provide</w:t>
      </w:r>
      <w:r>
        <w:rPr>
          <w:rFonts w:ascii="Arial" w:eastAsia="Arial" w:hAnsi="Arial"/>
          <w:sz w:val="20"/>
          <w:szCs w:val="20"/>
          <w:lang w:val="en-US"/>
        </w:rPr>
        <w:t>s</w:t>
      </w:r>
      <w:r w:rsidRPr="004538F4">
        <w:rPr>
          <w:rFonts w:ascii="Arial" w:eastAsia="Arial" w:hAnsi="Arial"/>
          <w:sz w:val="20"/>
          <w:szCs w:val="20"/>
          <w:lang w:val="en-US"/>
        </w:rPr>
        <w:t xml:space="preserve"> administrative support for </w:t>
      </w:r>
      <w:r w:rsidR="00CF1A9F">
        <w:rPr>
          <w:rFonts w:ascii="Arial" w:eastAsia="Arial" w:hAnsi="Arial"/>
          <w:sz w:val="20"/>
          <w:szCs w:val="20"/>
          <w:lang w:val="en-US"/>
        </w:rPr>
        <w:t xml:space="preserve">the </w:t>
      </w:r>
      <w:r w:rsidR="002D7DC0">
        <w:rPr>
          <w:rFonts w:ascii="Arial" w:eastAsia="Arial" w:hAnsi="Arial"/>
          <w:sz w:val="20"/>
          <w:szCs w:val="20"/>
          <w:lang w:val="en-US"/>
        </w:rPr>
        <w:t>r</w:t>
      </w:r>
      <w:r w:rsidR="00CF1A9F">
        <w:rPr>
          <w:rFonts w:ascii="Arial" w:eastAsia="Arial" w:hAnsi="Arial"/>
          <w:sz w:val="20"/>
          <w:szCs w:val="20"/>
          <w:lang w:val="en-US"/>
        </w:rPr>
        <w:t xml:space="preserve">esearch </w:t>
      </w:r>
      <w:r w:rsidRPr="004538F4">
        <w:rPr>
          <w:rFonts w:ascii="Arial" w:eastAsia="Arial" w:hAnsi="Arial"/>
          <w:sz w:val="20"/>
          <w:szCs w:val="20"/>
          <w:lang w:val="en-US"/>
        </w:rPr>
        <w:t xml:space="preserve">activities undertaken by the </w:t>
      </w:r>
      <w:r w:rsidR="00290642">
        <w:rPr>
          <w:rFonts w:ascii="Arial" w:eastAsia="Arial" w:hAnsi="Arial"/>
          <w:sz w:val="20"/>
          <w:szCs w:val="20"/>
          <w:lang w:val="en-US"/>
        </w:rPr>
        <w:t xml:space="preserve">Teaching and Learning Directorate </w:t>
      </w:r>
      <w:r w:rsidRPr="004538F4">
        <w:rPr>
          <w:rFonts w:ascii="Arial" w:eastAsia="Arial" w:hAnsi="Arial"/>
          <w:sz w:val="20"/>
          <w:szCs w:val="20"/>
          <w:lang w:val="en-US"/>
        </w:rPr>
        <w:t>m and to provide administrative support to other parts of the Directorate as required.</w:t>
      </w:r>
    </w:p>
    <w:p w14:paraId="19845CAB" w14:textId="77777777" w:rsidR="004538F4" w:rsidRPr="004538F4" w:rsidRDefault="004538F4" w:rsidP="004538F4">
      <w:pPr>
        <w:spacing w:after="0"/>
        <w:rPr>
          <w:rFonts w:ascii="Arial" w:eastAsia="Arial" w:hAnsi="Arial"/>
          <w:sz w:val="20"/>
          <w:szCs w:val="20"/>
          <w:lang w:val="en-US"/>
        </w:rPr>
      </w:pPr>
    </w:p>
    <w:p w14:paraId="12DAF321" w14:textId="38D26E2C" w:rsidR="000D2160" w:rsidRPr="0074506D" w:rsidRDefault="004538F4" w:rsidP="004538F4">
      <w:pPr>
        <w:spacing w:after="0"/>
        <w:rPr>
          <w:rFonts w:ascii="Arial" w:hAnsi="Arial" w:cs="Arial"/>
          <w:sz w:val="20"/>
          <w:szCs w:val="20"/>
        </w:rPr>
      </w:pPr>
      <w:r w:rsidRPr="004538F4">
        <w:rPr>
          <w:rFonts w:ascii="Arial" w:eastAsia="Arial" w:hAnsi="Arial"/>
          <w:sz w:val="20"/>
          <w:szCs w:val="20"/>
          <w:lang w:val="en-US"/>
        </w:rPr>
        <w:t xml:space="preserve">The position-holder will be a member of the </w:t>
      </w:r>
      <w:r w:rsidR="00093C0E">
        <w:rPr>
          <w:rFonts w:ascii="Arial" w:eastAsia="Arial" w:hAnsi="Arial"/>
          <w:sz w:val="20"/>
          <w:szCs w:val="20"/>
          <w:lang w:val="en-US"/>
        </w:rPr>
        <w:t>Teaching Innovation and Research Team</w:t>
      </w:r>
      <w:r w:rsidRPr="004538F4">
        <w:rPr>
          <w:rFonts w:ascii="Arial" w:eastAsia="Arial" w:hAnsi="Arial"/>
          <w:sz w:val="20"/>
          <w:szCs w:val="20"/>
          <w:lang w:val="en-US"/>
        </w:rPr>
        <w:t xml:space="preserve"> within the </w:t>
      </w:r>
      <w:r w:rsidR="00093C0E">
        <w:rPr>
          <w:rFonts w:ascii="Arial" w:eastAsia="Arial" w:hAnsi="Arial"/>
          <w:sz w:val="20"/>
          <w:szCs w:val="20"/>
          <w:lang w:val="en-US"/>
        </w:rPr>
        <w:t>Teaching and Learning</w:t>
      </w:r>
      <w:r w:rsidRPr="004538F4">
        <w:rPr>
          <w:rFonts w:ascii="Arial" w:eastAsia="Arial" w:hAnsi="Arial"/>
          <w:sz w:val="20"/>
          <w:szCs w:val="20"/>
          <w:lang w:val="en-US"/>
        </w:rPr>
        <w:t xml:space="preserve"> Directorate.</w:t>
      </w:r>
    </w:p>
    <w:tbl>
      <w:tblPr>
        <w:tblStyle w:val="TableGrid"/>
        <w:tblW w:w="0" w:type="auto"/>
        <w:tblLook w:val="04A0" w:firstRow="1" w:lastRow="0" w:firstColumn="1" w:lastColumn="0" w:noHBand="0" w:noVBand="1"/>
      </w:tblPr>
      <w:tblGrid>
        <w:gridCol w:w="9016"/>
      </w:tblGrid>
      <w:tr w:rsidR="000D2160" w:rsidRPr="0074506D" w14:paraId="4E0DB1A5" w14:textId="77777777" w:rsidTr="00AE2B28">
        <w:trPr>
          <w:trHeight w:val="442"/>
        </w:trPr>
        <w:tc>
          <w:tcPr>
            <w:tcW w:w="9016" w:type="dxa"/>
            <w:tcBorders>
              <w:left w:val="nil"/>
              <w:right w:val="nil"/>
            </w:tcBorders>
            <w:shd w:val="clear" w:color="auto" w:fill="F2F2F2" w:themeFill="background1" w:themeFillShade="F2"/>
            <w:vAlign w:val="center"/>
          </w:tcPr>
          <w:p w14:paraId="74ADE3EB" w14:textId="11AD606D" w:rsidR="000D2160" w:rsidRPr="0074506D" w:rsidRDefault="00F40B03" w:rsidP="00380F5D">
            <w:pPr>
              <w:rPr>
                <w:rFonts w:ascii="Arial" w:hAnsi="Arial" w:cs="Arial"/>
                <w:b/>
                <w:sz w:val="20"/>
                <w:szCs w:val="20"/>
              </w:rPr>
            </w:pPr>
            <w:r w:rsidRPr="0074506D">
              <w:rPr>
                <w:rFonts w:ascii="Arial" w:hAnsi="Arial" w:cs="Arial"/>
                <w:b/>
                <w:sz w:val="20"/>
                <w:szCs w:val="20"/>
              </w:rPr>
              <w:t>Key Accountabilities</w:t>
            </w:r>
          </w:p>
        </w:tc>
      </w:tr>
    </w:tbl>
    <w:p w14:paraId="6E8CF581" w14:textId="77777777" w:rsidR="00736630" w:rsidRPr="0074506D" w:rsidRDefault="00736630" w:rsidP="00380F5D">
      <w:pPr>
        <w:spacing w:after="0"/>
        <w:jc w:val="both"/>
        <w:rPr>
          <w:rFonts w:ascii="Arial" w:eastAsia="Arial" w:hAnsi="Arial" w:cs="Arial"/>
          <w:sz w:val="20"/>
          <w:szCs w:val="20"/>
        </w:rPr>
      </w:pPr>
    </w:p>
    <w:p w14:paraId="72725BFC" w14:textId="11221A02" w:rsidR="00864669"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Responsibilities of this position are expected to change over time as WelTec and Whitireia respond to changing needs. The incumbent is expected to adapt and develop as the environment evolves. To ensure the focus of responsibilities remains up-to-date, the intention is for the high level description below to be supported by short term (e.g. 6 months) roll-over action plans prepared by the incumbent and agreed with his or her manager.</w:t>
      </w:r>
      <w:r w:rsidR="007F2452" w:rsidRPr="0074506D">
        <w:rPr>
          <w:rFonts w:ascii="Arial" w:eastAsia="Arial" w:hAnsi="Arial" w:cs="Arial"/>
          <w:sz w:val="20"/>
          <w:szCs w:val="20"/>
        </w:rPr>
        <w:t xml:space="preserve"> </w:t>
      </w:r>
    </w:p>
    <w:p w14:paraId="37BF10E2" w14:textId="77777777" w:rsidR="00380F5D" w:rsidRPr="0074506D" w:rsidRDefault="00380F5D" w:rsidP="00380F5D">
      <w:pPr>
        <w:spacing w:after="0"/>
        <w:jc w:val="both"/>
        <w:rPr>
          <w:rFonts w:ascii="Arial" w:eastAsia="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6C44BBAA" w14:textId="77777777" w:rsidTr="00F40B03">
        <w:trPr>
          <w:cantSplit/>
        </w:trPr>
        <w:tc>
          <w:tcPr>
            <w:tcW w:w="9016" w:type="dxa"/>
            <w:tcBorders>
              <w:left w:val="nil"/>
              <w:bottom w:val="single" w:sz="4" w:space="0" w:color="auto"/>
              <w:right w:val="nil"/>
            </w:tcBorders>
            <w:shd w:val="clear" w:color="auto" w:fill="FFFFFF" w:themeFill="background1"/>
            <w:vAlign w:val="center"/>
          </w:tcPr>
          <w:p w14:paraId="020A745B" w14:textId="77777777" w:rsidR="00A853C3" w:rsidRPr="00A853C3" w:rsidRDefault="00A853C3" w:rsidP="001E6B1E">
            <w:pPr>
              <w:pStyle w:val="TableParagraph"/>
              <w:tabs>
                <w:tab w:val="left" w:pos="-15"/>
              </w:tabs>
              <w:spacing w:before="54" w:line="266" w:lineRule="exact"/>
              <w:ind w:right="607"/>
              <w:rPr>
                <w:rFonts w:ascii="Arial" w:hAnsi="Arial" w:cs="Arial"/>
                <w:sz w:val="20"/>
              </w:rPr>
            </w:pPr>
            <w:r w:rsidRPr="00A853C3">
              <w:rPr>
                <w:rFonts w:ascii="Arial" w:hAnsi="Arial" w:cs="Arial"/>
                <w:sz w:val="20"/>
              </w:rPr>
              <w:t>The appointee will be accountable for providing effective and efficient administrative services and be expected to:</w:t>
            </w:r>
          </w:p>
          <w:p w14:paraId="15C21631" w14:textId="77777777" w:rsidR="001E6B1E" w:rsidRDefault="00A853C3" w:rsidP="00597E99">
            <w:pPr>
              <w:pStyle w:val="TableParagraph"/>
              <w:numPr>
                <w:ilvl w:val="0"/>
                <w:numId w:val="19"/>
              </w:numPr>
              <w:spacing w:before="54" w:line="266" w:lineRule="exact"/>
              <w:ind w:right="607"/>
              <w:rPr>
                <w:rFonts w:ascii="Arial" w:hAnsi="Arial" w:cs="Arial"/>
                <w:sz w:val="20"/>
              </w:rPr>
            </w:pPr>
            <w:r w:rsidRPr="001E6B1E">
              <w:rPr>
                <w:rFonts w:ascii="Arial" w:hAnsi="Arial" w:cs="Arial"/>
                <w:sz w:val="20"/>
              </w:rPr>
              <w:t xml:space="preserve">Work in a flexible and proactive way to provide high quality and timely administrative support to the </w:t>
            </w:r>
            <w:r w:rsidR="002D7DC0" w:rsidRPr="001E6B1E">
              <w:rPr>
                <w:rFonts w:ascii="Arial" w:hAnsi="Arial" w:cs="Arial"/>
                <w:sz w:val="20"/>
              </w:rPr>
              <w:t>Research functions of the Teaching and Learning Directorate</w:t>
            </w:r>
          </w:p>
          <w:p w14:paraId="09D60815" w14:textId="7DBEA4B8" w:rsidR="002D7DC0" w:rsidRPr="001E6B1E" w:rsidRDefault="00A853C3" w:rsidP="00597E99">
            <w:pPr>
              <w:pStyle w:val="TableParagraph"/>
              <w:numPr>
                <w:ilvl w:val="0"/>
                <w:numId w:val="19"/>
              </w:numPr>
              <w:spacing w:before="54" w:line="266" w:lineRule="exact"/>
              <w:ind w:right="607"/>
              <w:rPr>
                <w:rFonts w:ascii="Arial" w:hAnsi="Arial" w:cs="Arial"/>
                <w:sz w:val="20"/>
              </w:rPr>
            </w:pPr>
            <w:r w:rsidRPr="001E6B1E">
              <w:rPr>
                <w:rFonts w:ascii="Arial" w:hAnsi="Arial" w:cs="Arial"/>
                <w:sz w:val="20"/>
              </w:rPr>
              <w:t>Demonstrate a high level of capability, professionalism and commitment to performance and ensure that services delivered reflect a positive, friendly, and solutions-focused approach</w:t>
            </w:r>
          </w:p>
          <w:p w14:paraId="3DCFB5F1" w14:textId="77777777" w:rsidR="002D7DC0" w:rsidRDefault="00A853C3" w:rsidP="00597E99">
            <w:pPr>
              <w:pStyle w:val="TableParagraph"/>
              <w:numPr>
                <w:ilvl w:val="0"/>
                <w:numId w:val="19"/>
              </w:numPr>
              <w:spacing w:before="54" w:line="266" w:lineRule="exact"/>
              <w:ind w:right="607"/>
              <w:rPr>
                <w:rFonts w:ascii="Arial" w:hAnsi="Arial" w:cs="Arial"/>
                <w:sz w:val="20"/>
              </w:rPr>
            </w:pPr>
            <w:r w:rsidRPr="002D7DC0">
              <w:rPr>
                <w:rFonts w:ascii="Arial" w:hAnsi="Arial" w:cs="Arial"/>
                <w:sz w:val="20"/>
              </w:rPr>
              <w:t>Maintain strong relationships with internal and external stakeholders</w:t>
            </w:r>
          </w:p>
          <w:p w14:paraId="6A05237C" w14:textId="39D84F33" w:rsidR="002D7DC0" w:rsidRDefault="00A853C3" w:rsidP="00597E99">
            <w:pPr>
              <w:pStyle w:val="TableParagraph"/>
              <w:numPr>
                <w:ilvl w:val="0"/>
                <w:numId w:val="19"/>
              </w:numPr>
              <w:spacing w:before="54" w:line="266" w:lineRule="exact"/>
              <w:ind w:right="607"/>
              <w:rPr>
                <w:rFonts w:ascii="Arial" w:hAnsi="Arial" w:cs="Arial"/>
                <w:sz w:val="20"/>
              </w:rPr>
            </w:pPr>
            <w:r w:rsidRPr="002D7DC0">
              <w:rPr>
                <w:rFonts w:ascii="Arial" w:hAnsi="Arial" w:cs="Arial"/>
                <w:sz w:val="20"/>
              </w:rPr>
              <w:t xml:space="preserve">Provide secretarial support for the </w:t>
            </w:r>
            <w:r w:rsidR="0023452C">
              <w:rPr>
                <w:rFonts w:ascii="Arial" w:hAnsi="Arial" w:cs="Arial"/>
                <w:sz w:val="20"/>
              </w:rPr>
              <w:t xml:space="preserve">Post-Graduate Board of Studies and the </w:t>
            </w:r>
            <w:r w:rsidR="00C54D01">
              <w:rPr>
                <w:rFonts w:ascii="Arial" w:hAnsi="Arial" w:cs="Arial"/>
                <w:sz w:val="20"/>
              </w:rPr>
              <w:t>Ethi</w:t>
            </w:r>
            <w:r w:rsidR="007A2D8E">
              <w:rPr>
                <w:rFonts w:ascii="Arial" w:hAnsi="Arial" w:cs="Arial"/>
                <w:sz w:val="20"/>
              </w:rPr>
              <w:t>cs and Research Committe</w:t>
            </w:r>
            <w:r w:rsidR="00C95D08">
              <w:rPr>
                <w:rFonts w:ascii="Arial" w:hAnsi="Arial" w:cs="Arial"/>
                <w:sz w:val="20"/>
              </w:rPr>
              <w:t>e</w:t>
            </w:r>
            <w:r w:rsidRPr="002D7DC0">
              <w:rPr>
                <w:rFonts w:ascii="Arial" w:hAnsi="Arial" w:cs="Arial"/>
                <w:sz w:val="20"/>
              </w:rPr>
              <w:t>, including working with the Chair of each Committee to establish agenda, distributing agenda and associated papers to Committee members, preparing and distributing minutes, and following-up on action points.</w:t>
            </w:r>
          </w:p>
          <w:p w14:paraId="37173C5E" w14:textId="6D258BE2" w:rsidR="001E6B1E" w:rsidRDefault="00A853C3" w:rsidP="00597E99">
            <w:pPr>
              <w:pStyle w:val="TableParagraph"/>
              <w:numPr>
                <w:ilvl w:val="0"/>
                <w:numId w:val="19"/>
              </w:numPr>
              <w:spacing w:before="54" w:line="266" w:lineRule="exact"/>
              <w:ind w:right="607"/>
              <w:rPr>
                <w:rFonts w:ascii="Arial" w:hAnsi="Arial" w:cs="Arial"/>
                <w:sz w:val="20"/>
              </w:rPr>
            </w:pPr>
            <w:r w:rsidRPr="001E6B1E">
              <w:rPr>
                <w:rFonts w:ascii="Arial" w:hAnsi="Arial" w:cs="Arial"/>
                <w:sz w:val="20"/>
              </w:rPr>
              <w:t xml:space="preserve">Prepare correspondence, email communications and other communications to the </w:t>
            </w:r>
            <w:r w:rsidR="00D458C4">
              <w:rPr>
                <w:rFonts w:ascii="Arial" w:hAnsi="Arial" w:cs="Arial"/>
                <w:sz w:val="20"/>
              </w:rPr>
              <w:t>external and internal stakeholders as required</w:t>
            </w:r>
          </w:p>
          <w:p w14:paraId="131B42BD" w14:textId="6CEEB64C" w:rsidR="001E6B1E" w:rsidRDefault="001E6B1E" w:rsidP="00597E99">
            <w:pPr>
              <w:pStyle w:val="TableParagraph"/>
              <w:numPr>
                <w:ilvl w:val="0"/>
                <w:numId w:val="19"/>
              </w:numPr>
              <w:spacing w:before="54" w:line="266" w:lineRule="exact"/>
              <w:ind w:right="607"/>
              <w:rPr>
                <w:rFonts w:ascii="Arial" w:hAnsi="Arial" w:cs="Arial"/>
                <w:sz w:val="20"/>
              </w:rPr>
            </w:pPr>
            <w:r w:rsidRPr="001E6B1E">
              <w:rPr>
                <w:rFonts w:ascii="Arial" w:hAnsi="Arial" w:cs="Arial"/>
                <w:sz w:val="20"/>
              </w:rPr>
              <w:t>M</w:t>
            </w:r>
            <w:r w:rsidR="00A853C3" w:rsidRPr="001E6B1E">
              <w:rPr>
                <w:rFonts w:ascii="Arial" w:hAnsi="Arial" w:cs="Arial"/>
                <w:sz w:val="20"/>
              </w:rPr>
              <w:t xml:space="preserve">anage the </w:t>
            </w:r>
            <w:r w:rsidR="00D458C4">
              <w:rPr>
                <w:rFonts w:ascii="Arial" w:hAnsi="Arial" w:cs="Arial"/>
                <w:sz w:val="20"/>
              </w:rPr>
              <w:t>Research</w:t>
            </w:r>
            <w:r w:rsidR="00A853C3" w:rsidRPr="001E6B1E">
              <w:rPr>
                <w:rFonts w:ascii="Arial" w:hAnsi="Arial" w:cs="Arial"/>
                <w:sz w:val="20"/>
              </w:rPr>
              <w:t xml:space="preserve"> Register for Whitireia and WelTec</w:t>
            </w:r>
          </w:p>
          <w:p w14:paraId="0EDF1D07" w14:textId="5BAF21C8" w:rsidR="001E6B1E" w:rsidRDefault="00A853C3" w:rsidP="00597E99">
            <w:pPr>
              <w:pStyle w:val="TableParagraph"/>
              <w:numPr>
                <w:ilvl w:val="0"/>
                <w:numId w:val="19"/>
              </w:numPr>
              <w:spacing w:before="54" w:line="266" w:lineRule="exact"/>
              <w:ind w:right="607"/>
              <w:rPr>
                <w:rFonts w:ascii="Arial" w:hAnsi="Arial" w:cs="Arial"/>
                <w:sz w:val="20"/>
              </w:rPr>
            </w:pPr>
            <w:r w:rsidRPr="001E6B1E">
              <w:rPr>
                <w:rFonts w:ascii="Arial" w:hAnsi="Arial" w:cs="Arial"/>
                <w:sz w:val="20"/>
              </w:rPr>
              <w:t xml:space="preserve">Provide administrative support as required for events directly related to the </w:t>
            </w:r>
            <w:r w:rsidR="00250E48">
              <w:rPr>
                <w:rFonts w:ascii="Arial" w:hAnsi="Arial" w:cs="Arial"/>
                <w:sz w:val="20"/>
              </w:rPr>
              <w:t>re</w:t>
            </w:r>
            <w:r w:rsidR="000B1CF3">
              <w:rPr>
                <w:rFonts w:ascii="Arial" w:hAnsi="Arial" w:cs="Arial"/>
                <w:sz w:val="20"/>
              </w:rPr>
              <w:t xml:space="preserve">search </w:t>
            </w:r>
            <w:r w:rsidRPr="001E6B1E">
              <w:rPr>
                <w:rFonts w:ascii="Arial" w:hAnsi="Arial" w:cs="Arial"/>
                <w:sz w:val="20"/>
              </w:rPr>
              <w:t xml:space="preserve">work of the </w:t>
            </w:r>
            <w:r w:rsidR="000B1CF3">
              <w:rPr>
                <w:rFonts w:ascii="Arial" w:hAnsi="Arial" w:cs="Arial"/>
                <w:sz w:val="20"/>
              </w:rPr>
              <w:t>Teaching and Learning Directorate</w:t>
            </w:r>
          </w:p>
          <w:p w14:paraId="5A4327B0" w14:textId="77777777" w:rsidR="001E6B1E" w:rsidRDefault="00A853C3" w:rsidP="00597E99">
            <w:pPr>
              <w:pStyle w:val="TableParagraph"/>
              <w:numPr>
                <w:ilvl w:val="0"/>
                <w:numId w:val="19"/>
              </w:numPr>
              <w:spacing w:before="54" w:line="266" w:lineRule="exact"/>
              <w:ind w:right="607"/>
              <w:rPr>
                <w:rFonts w:ascii="Arial" w:hAnsi="Arial" w:cs="Arial"/>
                <w:sz w:val="20"/>
              </w:rPr>
            </w:pPr>
            <w:r w:rsidRPr="001E6B1E">
              <w:rPr>
                <w:rFonts w:ascii="Arial" w:hAnsi="Arial" w:cs="Arial"/>
                <w:sz w:val="20"/>
              </w:rPr>
              <w:t>Ensure comprehensive record keeping in conjunction with the administrative policies of Whitireia and WelTec</w:t>
            </w:r>
          </w:p>
          <w:p w14:paraId="28085B5A" w14:textId="1B38D1E6" w:rsidR="001E6B1E" w:rsidRPr="001E6B1E" w:rsidRDefault="00A853C3" w:rsidP="00597E99">
            <w:pPr>
              <w:pStyle w:val="TableParagraph"/>
              <w:numPr>
                <w:ilvl w:val="0"/>
                <w:numId w:val="19"/>
              </w:numPr>
              <w:spacing w:before="54" w:line="266" w:lineRule="exact"/>
              <w:ind w:right="607"/>
              <w:rPr>
                <w:rFonts w:ascii="Arial" w:eastAsia="Calibri" w:hAnsi="Arial" w:cs="Arial"/>
                <w:sz w:val="20"/>
              </w:rPr>
            </w:pPr>
            <w:r w:rsidRPr="001E6B1E">
              <w:rPr>
                <w:rFonts w:ascii="Arial" w:hAnsi="Arial" w:cs="Arial"/>
                <w:sz w:val="20"/>
              </w:rPr>
              <w:t xml:space="preserve">The appointee will be expected to work collaboratively with other colleagues in the </w:t>
            </w:r>
            <w:r w:rsidR="00576D55">
              <w:rPr>
                <w:rFonts w:ascii="Arial" w:hAnsi="Arial" w:cs="Arial"/>
                <w:sz w:val="20"/>
              </w:rPr>
              <w:t>Teaching and Learning</w:t>
            </w:r>
            <w:r w:rsidRPr="001E6B1E">
              <w:rPr>
                <w:rFonts w:ascii="Arial" w:hAnsi="Arial" w:cs="Arial"/>
                <w:sz w:val="20"/>
              </w:rPr>
              <w:t xml:space="preserve"> Directorate and to provide administrative support to other parts of the Directorate as required.</w:t>
            </w:r>
          </w:p>
          <w:p w14:paraId="1C2C5BCF" w14:textId="77777777" w:rsidR="00576D55" w:rsidRDefault="00A853C3" w:rsidP="00576D55">
            <w:pPr>
              <w:pStyle w:val="TableParagraph"/>
              <w:spacing w:before="54" w:line="266" w:lineRule="exact"/>
              <w:ind w:left="234" w:right="607"/>
              <w:rPr>
                <w:rFonts w:ascii="Arial" w:hAnsi="Arial" w:cs="Arial"/>
                <w:sz w:val="20"/>
              </w:rPr>
            </w:pPr>
            <w:r w:rsidRPr="001E6B1E">
              <w:rPr>
                <w:rFonts w:ascii="Arial" w:hAnsi="Arial" w:cs="Arial"/>
                <w:sz w:val="20"/>
              </w:rPr>
              <w:t>This position encompasses responsibilities for Whitireia, WelTec, and their subsidiaries.</w:t>
            </w:r>
          </w:p>
          <w:p w14:paraId="47CF06CD" w14:textId="424640AF" w:rsidR="00F40B03" w:rsidRPr="0074506D" w:rsidRDefault="00576D55" w:rsidP="00576D55">
            <w:pPr>
              <w:pStyle w:val="TableParagraph"/>
              <w:spacing w:before="54" w:line="266" w:lineRule="exact"/>
              <w:ind w:left="234" w:right="607"/>
              <w:rPr>
                <w:rFonts w:ascii="Arial" w:hAnsi="Arial" w:cs="Arial"/>
                <w:sz w:val="20"/>
                <w:szCs w:val="20"/>
              </w:rPr>
            </w:pPr>
            <w:r w:rsidRPr="0074506D">
              <w:rPr>
                <w:rFonts w:ascii="Arial" w:hAnsi="Arial" w:cs="Arial"/>
                <w:sz w:val="20"/>
                <w:szCs w:val="20"/>
              </w:rPr>
              <w:t xml:space="preserve"> </w:t>
            </w:r>
          </w:p>
        </w:tc>
      </w:tr>
      <w:tr w:rsidR="00736630" w:rsidRPr="0074506D" w14:paraId="5ECD97FA" w14:textId="77777777" w:rsidTr="00F40B03">
        <w:trPr>
          <w:cantSplit/>
        </w:trPr>
        <w:tc>
          <w:tcPr>
            <w:tcW w:w="9016" w:type="dxa"/>
            <w:tcBorders>
              <w:left w:val="nil"/>
              <w:right w:val="nil"/>
            </w:tcBorders>
          </w:tcPr>
          <w:p w14:paraId="2871CF9E" w14:textId="2D8A9977" w:rsidR="00736630" w:rsidRPr="0074506D" w:rsidRDefault="00F40B03" w:rsidP="00F40B03">
            <w:pPr>
              <w:spacing w:before="60" w:after="60"/>
              <w:jc w:val="both"/>
              <w:rPr>
                <w:rFonts w:ascii="Arial" w:hAnsi="Arial" w:cs="Arial"/>
                <w:b/>
                <w:sz w:val="20"/>
                <w:szCs w:val="20"/>
              </w:rPr>
            </w:pPr>
            <w:r w:rsidRPr="0074506D">
              <w:rPr>
                <w:rFonts w:ascii="Arial" w:hAnsi="Arial" w:cs="Arial"/>
                <w:b/>
                <w:sz w:val="20"/>
                <w:szCs w:val="20"/>
              </w:rPr>
              <w:lastRenderedPageBreak/>
              <w:t>Health and Safety</w:t>
            </w:r>
          </w:p>
          <w:p w14:paraId="1AAD922E" w14:textId="25AD436B"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Maintain</w:t>
            </w:r>
            <w:r w:rsidR="00F2762F">
              <w:rPr>
                <w:rFonts w:ascii="Arial" w:hAnsi="Arial" w:cs="Arial"/>
                <w:sz w:val="20"/>
                <w:szCs w:val="20"/>
              </w:rPr>
              <w:t>ing</w:t>
            </w:r>
            <w:r w:rsidRPr="0074506D">
              <w:rPr>
                <w:rFonts w:ascii="Arial" w:hAnsi="Arial" w:cs="Arial"/>
                <w:sz w:val="20"/>
                <w:szCs w:val="20"/>
              </w:rPr>
              <w:t xml:space="preserve"> knowledge of Health and Safety procedures, and actively support safe work practices in your work area.</w:t>
            </w:r>
          </w:p>
          <w:p w14:paraId="0FCDB885" w14:textId="77777777"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Take all practicable steps to ensure you don’t harm yourself or anyone else.</w:t>
            </w:r>
          </w:p>
          <w:p w14:paraId="622C7692" w14:textId="0CE180B3" w:rsidR="00380F5D"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Comply</w:t>
            </w:r>
            <w:r w:rsidR="00F2762F">
              <w:rPr>
                <w:rFonts w:ascii="Arial" w:hAnsi="Arial" w:cs="Arial"/>
                <w:sz w:val="20"/>
                <w:szCs w:val="20"/>
              </w:rPr>
              <w:t>ing</w:t>
            </w:r>
            <w:r w:rsidRPr="0074506D">
              <w:rPr>
                <w:rFonts w:ascii="Arial" w:hAnsi="Arial" w:cs="Arial"/>
                <w:sz w:val="20"/>
                <w:szCs w:val="20"/>
              </w:rPr>
              <w:t xml:space="preserve"> with health and safety procedures as outlined in Taikura, in particular reporting all incidents and proactively identify hazards and support their management.</w:t>
            </w:r>
          </w:p>
        </w:tc>
      </w:tr>
      <w:tr w:rsidR="00736630" w:rsidRPr="0074506D" w14:paraId="4733FC5B" w14:textId="77777777" w:rsidTr="00F40B03">
        <w:trPr>
          <w:cantSplit/>
        </w:trPr>
        <w:tc>
          <w:tcPr>
            <w:tcW w:w="9016" w:type="dxa"/>
            <w:tcBorders>
              <w:left w:val="nil"/>
              <w:right w:val="nil"/>
            </w:tcBorders>
          </w:tcPr>
          <w:p w14:paraId="58B1BBD8" w14:textId="77777777" w:rsidR="00736630" w:rsidRPr="0074506D" w:rsidRDefault="00736630" w:rsidP="00F40B03">
            <w:pPr>
              <w:spacing w:before="60" w:after="60"/>
              <w:jc w:val="both"/>
              <w:rPr>
                <w:rFonts w:ascii="Arial" w:hAnsi="Arial" w:cs="Arial"/>
                <w:b/>
                <w:sz w:val="20"/>
                <w:szCs w:val="20"/>
              </w:rPr>
            </w:pPr>
            <w:r w:rsidRPr="0074506D">
              <w:rPr>
                <w:rFonts w:ascii="Arial" w:hAnsi="Arial" w:cs="Arial"/>
                <w:b/>
                <w:sz w:val="20"/>
                <w:szCs w:val="20"/>
              </w:rPr>
              <w:t>Collaborative Relationships</w:t>
            </w:r>
          </w:p>
          <w:p w14:paraId="13C68CF7" w14:textId="64A642F7"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Develop</w:t>
            </w:r>
            <w:r w:rsidR="00F2762F">
              <w:rPr>
                <w:rFonts w:ascii="Arial" w:hAnsi="Arial" w:cs="Arial"/>
                <w:sz w:val="20"/>
                <w:szCs w:val="20"/>
              </w:rPr>
              <w:t>ing</w:t>
            </w:r>
            <w:r w:rsidRPr="0074506D">
              <w:rPr>
                <w:rFonts w:ascii="Arial" w:hAnsi="Arial" w:cs="Arial"/>
                <w:sz w:val="20"/>
                <w:szCs w:val="20"/>
              </w:rPr>
              <w:t xml:space="preserve"> and maintain</w:t>
            </w:r>
            <w:r w:rsidR="00F2762F">
              <w:rPr>
                <w:rFonts w:ascii="Arial" w:hAnsi="Arial" w:cs="Arial"/>
                <w:sz w:val="20"/>
                <w:szCs w:val="20"/>
              </w:rPr>
              <w:t>ing</w:t>
            </w:r>
            <w:r w:rsidRPr="0074506D">
              <w:rPr>
                <w:rFonts w:ascii="Arial" w:hAnsi="Arial" w:cs="Arial"/>
                <w:sz w:val="20"/>
                <w:szCs w:val="20"/>
              </w:rPr>
              <w:t xml:space="preserve"> strong, positive and collaborative relationships that enhance the strategic partnership of WelTec and Whitireia.</w:t>
            </w:r>
          </w:p>
          <w:p w14:paraId="431A966E" w14:textId="22DC9C2B"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Work</w:t>
            </w:r>
            <w:r w:rsidR="00FF1AA6">
              <w:rPr>
                <w:rFonts w:ascii="Arial" w:hAnsi="Arial" w:cs="Arial"/>
                <w:sz w:val="20"/>
                <w:szCs w:val="20"/>
              </w:rPr>
              <w:t>ing</w:t>
            </w:r>
            <w:r w:rsidRPr="0074506D">
              <w:rPr>
                <w:rFonts w:ascii="Arial" w:hAnsi="Arial" w:cs="Arial"/>
                <w:sz w:val="20"/>
                <w:szCs w:val="20"/>
              </w:rPr>
              <w:t xml:space="preserve"> with others collaboratively and constructively to achieve successful outcomes.</w:t>
            </w:r>
          </w:p>
          <w:p w14:paraId="6E09C45D" w14:textId="237043DF"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Support</w:t>
            </w:r>
            <w:r w:rsidR="00FF1AA6">
              <w:rPr>
                <w:rFonts w:ascii="Arial" w:hAnsi="Arial" w:cs="Arial"/>
                <w:sz w:val="20"/>
                <w:szCs w:val="20"/>
              </w:rPr>
              <w:t>ing</w:t>
            </w:r>
            <w:r w:rsidRPr="0074506D">
              <w:rPr>
                <w:rFonts w:ascii="Arial" w:hAnsi="Arial" w:cs="Arial"/>
                <w:sz w:val="20"/>
                <w:szCs w:val="20"/>
              </w:rPr>
              <w:t xml:space="preserve"> the work of the </w:t>
            </w:r>
            <w:r w:rsidR="00FF1AA6">
              <w:rPr>
                <w:rFonts w:ascii="Arial" w:hAnsi="Arial" w:cs="Arial"/>
                <w:sz w:val="20"/>
                <w:szCs w:val="20"/>
              </w:rPr>
              <w:t xml:space="preserve">Schools, and Whitireia and WelTec, </w:t>
            </w:r>
            <w:r w:rsidRPr="0074506D">
              <w:rPr>
                <w:rFonts w:ascii="Arial" w:hAnsi="Arial" w:cs="Arial"/>
                <w:sz w:val="20"/>
                <w:szCs w:val="20"/>
              </w:rPr>
              <w:t>by actively learning and developing, and responding to constructive feedback in order to continually improve the quality of work produced.</w:t>
            </w:r>
          </w:p>
          <w:p w14:paraId="07BF0BCA" w14:textId="41FDD71C"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Develop</w:t>
            </w:r>
            <w:r w:rsidR="00FF1AA6">
              <w:rPr>
                <w:rFonts w:ascii="Arial" w:hAnsi="Arial" w:cs="Arial"/>
                <w:sz w:val="20"/>
                <w:szCs w:val="20"/>
              </w:rPr>
              <w:t>ing</w:t>
            </w:r>
            <w:r w:rsidRPr="0074506D">
              <w:rPr>
                <w:rFonts w:ascii="Arial" w:hAnsi="Arial" w:cs="Arial"/>
                <w:sz w:val="20"/>
                <w:szCs w:val="20"/>
              </w:rPr>
              <w:t xml:space="preserve"> and maintain</w:t>
            </w:r>
            <w:r w:rsidR="00FF1AA6">
              <w:rPr>
                <w:rFonts w:ascii="Arial" w:hAnsi="Arial" w:cs="Arial"/>
                <w:sz w:val="20"/>
                <w:szCs w:val="20"/>
              </w:rPr>
              <w:t>ing</w:t>
            </w:r>
            <w:r w:rsidRPr="0074506D">
              <w:rPr>
                <w:rFonts w:ascii="Arial" w:hAnsi="Arial" w:cs="Arial"/>
                <w:sz w:val="20"/>
                <w:szCs w:val="20"/>
              </w:rPr>
              <w:t xml:space="preserve"> the trust, respect and confidence of colleagues.</w:t>
            </w:r>
          </w:p>
        </w:tc>
      </w:tr>
      <w:tr w:rsidR="00736630" w:rsidRPr="0074506D" w14:paraId="3DFDAA10" w14:textId="77777777" w:rsidTr="00F40B03">
        <w:trPr>
          <w:cantSplit/>
        </w:trPr>
        <w:tc>
          <w:tcPr>
            <w:tcW w:w="9016" w:type="dxa"/>
            <w:tcBorders>
              <w:left w:val="nil"/>
              <w:right w:val="nil"/>
            </w:tcBorders>
          </w:tcPr>
          <w:p w14:paraId="2D44660D" w14:textId="77777777" w:rsidR="00736630" w:rsidRPr="0074506D" w:rsidRDefault="00736630" w:rsidP="00F40B03">
            <w:pPr>
              <w:spacing w:before="60" w:after="60"/>
              <w:jc w:val="both"/>
              <w:rPr>
                <w:rFonts w:ascii="Arial" w:hAnsi="Arial" w:cs="Arial"/>
                <w:b/>
                <w:sz w:val="20"/>
                <w:szCs w:val="20"/>
              </w:rPr>
            </w:pPr>
            <w:r w:rsidRPr="0074506D">
              <w:rPr>
                <w:rFonts w:ascii="Arial" w:hAnsi="Arial" w:cs="Arial"/>
                <w:b/>
                <w:sz w:val="20"/>
                <w:szCs w:val="20"/>
              </w:rPr>
              <w:t>Valuing and Nurturing Diversity</w:t>
            </w:r>
          </w:p>
          <w:p w14:paraId="41ADA772" w14:textId="52E277CB"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Recognis</w:t>
            </w:r>
            <w:r w:rsidR="00FF1AA6">
              <w:rPr>
                <w:rFonts w:ascii="Arial" w:hAnsi="Arial" w:cs="Arial"/>
                <w:sz w:val="20"/>
                <w:szCs w:val="20"/>
              </w:rPr>
              <w:t>ing</w:t>
            </w:r>
            <w:r w:rsidRPr="0074506D">
              <w:rPr>
                <w:rFonts w:ascii="Arial" w:hAnsi="Arial" w:cs="Arial"/>
                <w:sz w:val="20"/>
                <w:szCs w:val="20"/>
              </w:rPr>
              <w:t xml:space="preserve"> and positively respond</w:t>
            </w:r>
            <w:r w:rsidR="00FF1AA6">
              <w:rPr>
                <w:rFonts w:ascii="Arial" w:hAnsi="Arial" w:cs="Arial"/>
                <w:sz w:val="20"/>
                <w:szCs w:val="20"/>
              </w:rPr>
              <w:t>ing</w:t>
            </w:r>
            <w:r w:rsidRPr="0074506D">
              <w:rPr>
                <w:rFonts w:ascii="Arial" w:hAnsi="Arial" w:cs="Arial"/>
                <w:sz w:val="20"/>
                <w:szCs w:val="20"/>
              </w:rPr>
              <w:t xml:space="preserve"> to the different needs of particular groups and individuals within the Institutes’ communities.</w:t>
            </w:r>
          </w:p>
        </w:tc>
      </w:tr>
      <w:tr w:rsidR="00736630" w:rsidRPr="0074506D" w14:paraId="27A409A2" w14:textId="77777777" w:rsidTr="00F40B03">
        <w:trPr>
          <w:cantSplit/>
        </w:trPr>
        <w:tc>
          <w:tcPr>
            <w:tcW w:w="9016" w:type="dxa"/>
            <w:tcBorders>
              <w:left w:val="nil"/>
              <w:right w:val="nil"/>
            </w:tcBorders>
          </w:tcPr>
          <w:p w14:paraId="1D0FBAB8" w14:textId="685238FD" w:rsidR="00736630" w:rsidRPr="0074506D" w:rsidRDefault="00F40B03" w:rsidP="00F40B03">
            <w:pPr>
              <w:spacing w:before="60" w:after="60"/>
              <w:jc w:val="both"/>
              <w:rPr>
                <w:rFonts w:ascii="Arial" w:hAnsi="Arial" w:cs="Arial"/>
                <w:b/>
                <w:sz w:val="20"/>
                <w:szCs w:val="20"/>
              </w:rPr>
            </w:pPr>
            <w:r w:rsidRPr="0074506D">
              <w:rPr>
                <w:rFonts w:ascii="Arial" w:hAnsi="Arial" w:cs="Arial"/>
                <w:b/>
                <w:sz w:val="20"/>
                <w:szCs w:val="20"/>
              </w:rPr>
              <w:t>Other Duties</w:t>
            </w:r>
          </w:p>
          <w:p w14:paraId="7F7ADE03" w14:textId="2418FBA0" w:rsidR="00736630" w:rsidRPr="0074506D" w:rsidRDefault="00736630" w:rsidP="00F40B03">
            <w:pPr>
              <w:pStyle w:val="ListParagraph"/>
              <w:numPr>
                <w:ilvl w:val="0"/>
                <w:numId w:val="14"/>
              </w:numPr>
              <w:spacing w:before="60" w:after="60"/>
              <w:jc w:val="both"/>
              <w:rPr>
                <w:rFonts w:ascii="Arial" w:hAnsi="Arial" w:cs="Arial"/>
                <w:b/>
                <w:sz w:val="20"/>
                <w:szCs w:val="20"/>
              </w:rPr>
            </w:pPr>
            <w:r w:rsidRPr="0074506D">
              <w:rPr>
                <w:rFonts w:ascii="Arial" w:hAnsi="Arial" w:cs="Arial"/>
                <w:sz w:val="20"/>
                <w:szCs w:val="20"/>
              </w:rPr>
              <w:t>Any other duties as reque</w:t>
            </w:r>
            <w:r w:rsidR="00F40B03" w:rsidRPr="0074506D">
              <w:rPr>
                <w:rFonts w:ascii="Arial" w:hAnsi="Arial" w:cs="Arial"/>
                <w:sz w:val="20"/>
                <w:szCs w:val="20"/>
              </w:rPr>
              <w:t>sted by your Manager/Director.</w:t>
            </w:r>
          </w:p>
        </w:tc>
      </w:tr>
    </w:tbl>
    <w:p w14:paraId="71796145" w14:textId="006A1AB0" w:rsidR="00F40B03" w:rsidRPr="0074506D" w:rsidRDefault="00F40B03" w:rsidP="00F40B03">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694"/>
        <w:gridCol w:w="6322"/>
      </w:tblGrid>
      <w:tr w:rsidR="00F96D85" w:rsidRPr="0074506D" w14:paraId="44E15748" w14:textId="77777777" w:rsidTr="00F40B03">
        <w:trPr>
          <w:cantSplit/>
        </w:trPr>
        <w:tc>
          <w:tcPr>
            <w:tcW w:w="9016" w:type="dxa"/>
            <w:gridSpan w:val="2"/>
            <w:tcBorders>
              <w:left w:val="nil"/>
              <w:right w:val="nil"/>
            </w:tcBorders>
            <w:shd w:val="clear" w:color="auto" w:fill="F2F2F2" w:themeFill="background1" w:themeFillShade="F2"/>
            <w:vAlign w:val="center"/>
          </w:tcPr>
          <w:p w14:paraId="1F381098" w14:textId="74247A71" w:rsidR="00F96D85" w:rsidRPr="0074506D" w:rsidRDefault="00F96D85" w:rsidP="00380F5D">
            <w:pPr>
              <w:rPr>
                <w:rFonts w:ascii="Arial" w:hAnsi="Arial" w:cs="Arial"/>
                <w:b/>
                <w:sz w:val="20"/>
                <w:szCs w:val="20"/>
              </w:rPr>
            </w:pPr>
            <w:r w:rsidRPr="0074506D">
              <w:rPr>
                <w:rFonts w:ascii="Arial" w:hAnsi="Arial" w:cs="Arial"/>
                <w:b/>
                <w:sz w:val="20"/>
                <w:szCs w:val="20"/>
              </w:rPr>
              <w:t>Position Dimensions</w:t>
            </w:r>
          </w:p>
        </w:tc>
      </w:tr>
      <w:tr w:rsidR="00F96D85" w:rsidRPr="0074506D" w14:paraId="43B96324" w14:textId="77777777" w:rsidTr="00F40B03">
        <w:trPr>
          <w:cantSplit/>
        </w:trPr>
        <w:tc>
          <w:tcPr>
            <w:tcW w:w="2694" w:type="dxa"/>
            <w:tcBorders>
              <w:left w:val="nil"/>
              <w:right w:val="nil"/>
            </w:tcBorders>
            <w:shd w:val="clear" w:color="auto" w:fill="FFFFFF" w:themeFill="background1"/>
            <w:vAlign w:val="center"/>
          </w:tcPr>
          <w:p w14:paraId="13DE4A9D" w14:textId="77777777" w:rsidR="00F96D85" w:rsidRPr="0074506D" w:rsidRDefault="00F96D85" w:rsidP="00380F5D">
            <w:pPr>
              <w:rPr>
                <w:rFonts w:ascii="Arial" w:hAnsi="Arial" w:cs="Arial"/>
                <w:sz w:val="20"/>
                <w:szCs w:val="20"/>
              </w:rPr>
            </w:pPr>
            <w:r w:rsidRPr="0074506D">
              <w:rPr>
                <w:rFonts w:ascii="Arial" w:hAnsi="Arial" w:cs="Arial"/>
                <w:sz w:val="20"/>
                <w:szCs w:val="20"/>
              </w:rPr>
              <w:t>Financial delegations</w:t>
            </w:r>
          </w:p>
        </w:tc>
        <w:tc>
          <w:tcPr>
            <w:tcW w:w="6322" w:type="dxa"/>
            <w:tcBorders>
              <w:left w:val="nil"/>
              <w:right w:val="nil"/>
            </w:tcBorders>
            <w:shd w:val="clear" w:color="auto" w:fill="FFFFFF" w:themeFill="background1"/>
            <w:vAlign w:val="center"/>
          </w:tcPr>
          <w:p w14:paraId="51E11A43" w14:textId="1AF307CA" w:rsidR="00F96D85" w:rsidRPr="007766BC" w:rsidRDefault="00864669" w:rsidP="00380F5D">
            <w:pPr>
              <w:rPr>
                <w:rFonts w:ascii="Arial" w:hAnsi="Arial" w:cs="Arial"/>
                <w:sz w:val="20"/>
                <w:szCs w:val="20"/>
              </w:rPr>
            </w:pPr>
            <w:r w:rsidRPr="007766BC">
              <w:rPr>
                <w:rFonts w:ascii="Arial" w:hAnsi="Arial" w:cs="Arial"/>
                <w:sz w:val="20"/>
                <w:szCs w:val="20"/>
              </w:rPr>
              <w:t>Nil</w:t>
            </w:r>
          </w:p>
        </w:tc>
      </w:tr>
      <w:tr w:rsidR="00F96D85" w:rsidRPr="0074506D" w14:paraId="5E9C0D93" w14:textId="77777777" w:rsidTr="00F40B03">
        <w:trPr>
          <w:cantSplit/>
        </w:trPr>
        <w:tc>
          <w:tcPr>
            <w:tcW w:w="2694" w:type="dxa"/>
            <w:tcBorders>
              <w:left w:val="nil"/>
              <w:right w:val="nil"/>
            </w:tcBorders>
            <w:shd w:val="clear" w:color="auto" w:fill="FFFFFF" w:themeFill="background1"/>
            <w:vAlign w:val="center"/>
          </w:tcPr>
          <w:p w14:paraId="3A1D3E03" w14:textId="77777777" w:rsidR="00F96D85" w:rsidRPr="0074506D" w:rsidRDefault="00F96D85" w:rsidP="00380F5D">
            <w:pPr>
              <w:rPr>
                <w:rFonts w:ascii="Arial" w:hAnsi="Arial" w:cs="Arial"/>
                <w:sz w:val="20"/>
                <w:szCs w:val="20"/>
              </w:rPr>
            </w:pPr>
            <w:r w:rsidRPr="0074506D">
              <w:rPr>
                <w:rFonts w:ascii="Arial" w:hAnsi="Arial" w:cs="Arial"/>
                <w:sz w:val="20"/>
                <w:szCs w:val="20"/>
              </w:rPr>
              <w:t>HR delegations</w:t>
            </w:r>
          </w:p>
        </w:tc>
        <w:tc>
          <w:tcPr>
            <w:tcW w:w="6322" w:type="dxa"/>
            <w:tcBorders>
              <w:left w:val="nil"/>
              <w:right w:val="nil"/>
            </w:tcBorders>
            <w:shd w:val="clear" w:color="auto" w:fill="FFFFFF" w:themeFill="background1"/>
            <w:vAlign w:val="center"/>
          </w:tcPr>
          <w:p w14:paraId="0EE0BC14" w14:textId="4D99E40B" w:rsidR="00F96D85" w:rsidRPr="007766BC" w:rsidRDefault="00864669" w:rsidP="00380F5D">
            <w:pPr>
              <w:rPr>
                <w:rFonts w:ascii="Arial" w:hAnsi="Arial" w:cs="Arial"/>
                <w:sz w:val="20"/>
                <w:szCs w:val="20"/>
              </w:rPr>
            </w:pPr>
            <w:r w:rsidRPr="007766BC">
              <w:rPr>
                <w:rFonts w:ascii="Arial" w:hAnsi="Arial" w:cs="Arial"/>
                <w:sz w:val="20"/>
                <w:szCs w:val="20"/>
              </w:rPr>
              <w:t>Nil</w:t>
            </w:r>
          </w:p>
        </w:tc>
      </w:tr>
      <w:tr w:rsidR="00F96D85" w:rsidRPr="0074506D" w14:paraId="79DDAD75" w14:textId="77777777" w:rsidTr="00F40B03">
        <w:trPr>
          <w:cantSplit/>
        </w:trPr>
        <w:tc>
          <w:tcPr>
            <w:tcW w:w="2694" w:type="dxa"/>
            <w:tcBorders>
              <w:left w:val="nil"/>
              <w:right w:val="nil"/>
            </w:tcBorders>
            <w:shd w:val="clear" w:color="auto" w:fill="FFFFFF" w:themeFill="background1"/>
            <w:vAlign w:val="center"/>
          </w:tcPr>
          <w:p w14:paraId="23C1B717" w14:textId="77777777" w:rsidR="00F96D85" w:rsidRPr="0074506D" w:rsidRDefault="00F96D85" w:rsidP="00380F5D">
            <w:pPr>
              <w:rPr>
                <w:rFonts w:ascii="Arial" w:hAnsi="Arial" w:cs="Arial"/>
                <w:sz w:val="20"/>
                <w:szCs w:val="20"/>
              </w:rPr>
            </w:pPr>
            <w:r w:rsidRPr="0074506D">
              <w:rPr>
                <w:rFonts w:ascii="Arial" w:hAnsi="Arial" w:cs="Arial"/>
                <w:sz w:val="20"/>
                <w:szCs w:val="20"/>
              </w:rPr>
              <w:t>Direct Reports</w:t>
            </w:r>
          </w:p>
        </w:tc>
        <w:tc>
          <w:tcPr>
            <w:tcW w:w="6322" w:type="dxa"/>
            <w:tcBorders>
              <w:left w:val="nil"/>
              <w:right w:val="nil"/>
            </w:tcBorders>
            <w:shd w:val="clear" w:color="auto" w:fill="FFFFFF" w:themeFill="background1"/>
            <w:vAlign w:val="center"/>
          </w:tcPr>
          <w:p w14:paraId="5999BC67" w14:textId="1427DDE8" w:rsidR="00F96D85" w:rsidRPr="007766BC" w:rsidRDefault="00864669" w:rsidP="00380F5D">
            <w:pPr>
              <w:rPr>
                <w:rFonts w:ascii="Arial" w:hAnsi="Arial" w:cs="Arial"/>
                <w:sz w:val="20"/>
                <w:szCs w:val="20"/>
              </w:rPr>
            </w:pPr>
            <w:r w:rsidRPr="007766BC">
              <w:rPr>
                <w:rFonts w:ascii="Arial" w:hAnsi="Arial" w:cs="Arial"/>
                <w:sz w:val="20"/>
                <w:szCs w:val="20"/>
              </w:rPr>
              <w:t>Nil</w:t>
            </w:r>
          </w:p>
        </w:tc>
      </w:tr>
      <w:tr w:rsidR="00F96D85" w:rsidRPr="0074506D" w14:paraId="7A4A5616" w14:textId="77777777" w:rsidTr="00F40B03">
        <w:trPr>
          <w:cantSplit/>
        </w:trPr>
        <w:tc>
          <w:tcPr>
            <w:tcW w:w="2694" w:type="dxa"/>
            <w:tcBorders>
              <w:left w:val="nil"/>
              <w:right w:val="nil"/>
            </w:tcBorders>
            <w:shd w:val="clear" w:color="auto" w:fill="FFFFFF" w:themeFill="background1"/>
            <w:vAlign w:val="center"/>
          </w:tcPr>
          <w:p w14:paraId="48544CE0" w14:textId="17149C56" w:rsidR="00F96D85" w:rsidRPr="0074506D" w:rsidRDefault="00F96D85" w:rsidP="00380F5D">
            <w:pPr>
              <w:rPr>
                <w:rFonts w:ascii="Arial" w:hAnsi="Arial" w:cs="Arial"/>
                <w:sz w:val="20"/>
                <w:szCs w:val="20"/>
              </w:rPr>
            </w:pPr>
            <w:r w:rsidRPr="0074506D">
              <w:rPr>
                <w:rFonts w:ascii="Arial" w:hAnsi="Arial" w:cs="Arial"/>
                <w:sz w:val="20"/>
                <w:szCs w:val="20"/>
              </w:rPr>
              <w:t>Key Internal Relationship</w:t>
            </w:r>
            <w:r w:rsidR="00864669" w:rsidRPr="0074506D">
              <w:rPr>
                <w:rFonts w:ascii="Arial" w:hAnsi="Arial" w:cs="Arial"/>
                <w:sz w:val="20"/>
                <w:szCs w:val="20"/>
              </w:rPr>
              <w:t>s</w:t>
            </w:r>
          </w:p>
        </w:tc>
        <w:tc>
          <w:tcPr>
            <w:tcW w:w="6322" w:type="dxa"/>
            <w:tcBorders>
              <w:left w:val="nil"/>
              <w:right w:val="nil"/>
            </w:tcBorders>
            <w:shd w:val="clear" w:color="auto" w:fill="FFFFFF" w:themeFill="background1"/>
            <w:vAlign w:val="center"/>
          </w:tcPr>
          <w:p w14:paraId="2F9B174B" w14:textId="50017925" w:rsidR="007766BC" w:rsidRDefault="007843E7" w:rsidP="007766BC">
            <w:pPr>
              <w:pStyle w:val="ListParagraph"/>
              <w:numPr>
                <w:ilvl w:val="0"/>
                <w:numId w:val="3"/>
              </w:numPr>
              <w:ind w:left="345" w:hanging="345"/>
              <w:rPr>
                <w:rFonts w:ascii="Arial" w:hAnsi="Arial" w:cs="Arial"/>
                <w:sz w:val="20"/>
              </w:rPr>
            </w:pPr>
            <w:r>
              <w:rPr>
                <w:rFonts w:ascii="Arial" w:hAnsi="Arial" w:cs="Arial"/>
                <w:sz w:val="20"/>
              </w:rPr>
              <w:t xml:space="preserve">Principal Lead and Team Leader, </w:t>
            </w:r>
            <w:r w:rsidR="00E521F4">
              <w:rPr>
                <w:rFonts w:ascii="Arial" w:hAnsi="Arial" w:cs="Arial"/>
                <w:sz w:val="20"/>
              </w:rPr>
              <w:t>Teaching Innovation and Research</w:t>
            </w:r>
          </w:p>
          <w:p w14:paraId="0779C81E" w14:textId="15A32278" w:rsidR="007766BC" w:rsidRPr="008D7260" w:rsidRDefault="00A04C1A" w:rsidP="007766BC">
            <w:pPr>
              <w:pStyle w:val="ListParagraph"/>
              <w:numPr>
                <w:ilvl w:val="0"/>
                <w:numId w:val="3"/>
              </w:numPr>
              <w:suppressAutoHyphens/>
              <w:ind w:left="345" w:hanging="345"/>
              <w:rPr>
                <w:rFonts w:ascii="Arial" w:hAnsi="Arial"/>
                <w:sz w:val="20"/>
              </w:rPr>
            </w:pPr>
            <w:r w:rsidRPr="008D7260">
              <w:rPr>
                <w:rFonts w:ascii="Arial" w:hAnsi="Arial" w:cs="Arial"/>
                <w:sz w:val="20"/>
              </w:rPr>
              <w:t xml:space="preserve">Directors </w:t>
            </w:r>
            <w:r w:rsidR="007766BC" w:rsidRPr="008D7260">
              <w:rPr>
                <w:rFonts w:ascii="Arial" w:hAnsi="Arial"/>
                <w:sz w:val="20"/>
              </w:rPr>
              <w:t>Heads of Schools</w:t>
            </w:r>
            <w:r w:rsidR="008D7260" w:rsidRPr="008D7260">
              <w:rPr>
                <w:rFonts w:ascii="Arial" w:hAnsi="Arial"/>
                <w:sz w:val="20"/>
              </w:rPr>
              <w:t xml:space="preserve">, Programme Managers and </w:t>
            </w:r>
            <w:r w:rsidR="00BE3953">
              <w:rPr>
                <w:rFonts w:ascii="Arial" w:hAnsi="Arial"/>
                <w:sz w:val="20"/>
              </w:rPr>
              <w:t>a</w:t>
            </w:r>
            <w:r w:rsidR="007766BC" w:rsidRPr="008D7260">
              <w:rPr>
                <w:rFonts w:ascii="Arial" w:hAnsi="Arial"/>
                <w:sz w:val="20"/>
              </w:rPr>
              <w:t>cademic staff</w:t>
            </w:r>
          </w:p>
          <w:p w14:paraId="23B7FE52" w14:textId="77777777" w:rsidR="00F96D85" w:rsidRDefault="00FE6801" w:rsidP="007766BC">
            <w:pPr>
              <w:numPr>
                <w:ilvl w:val="0"/>
                <w:numId w:val="3"/>
              </w:numPr>
              <w:suppressAutoHyphens/>
              <w:ind w:left="345" w:hanging="345"/>
              <w:rPr>
                <w:rFonts w:ascii="Arial" w:hAnsi="Arial"/>
                <w:sz w:val="20"/>
              </w:rPr>
            </w:pPr>
            <w:r>
              <w:rPr>
                <w:rFonts w:ascii="Arial" w:hAnsi="Arial"/>
                <w:sz w:val="20"/>
              </w:rPr>
              <w:t>Teaching Innovation and Research Staff</w:t>
            </w:r>
          </w:p>
          <w:p w14:paraId="09BEDDA9" w14:textId="7DA56065" w:rsidR="00D73745" w:rsidRPr="007766BC" w:rsidRDefault="00D73745" w:rsidP="007766BC">
            <w:pPr>
              <w:numPr>
                <w:ilvl w:val="0"/>
                <w:numId w:val="3"/>
              </w:numPr>
              <w:suppressAutoHyphens/>
              <w:ind w:left="345" w:hanging="345"/>
              <w:rPr>
                <w:rFonts w:ascii="Arial" w:hAnsi="Arial"/>
                <w:sz w:val="20"/>
              </w:rPr>
            </w:pPr>
            <w:r>
              <w:rPr>
                <w:rFonts w:ascii="Arial" w:hAnsi="Arial"/>
                <w:sz w:val="20"/>
              </w:rPr>
              <w:t>Registry Staff</w:t>
            </w:r>
          </w:p>
        </w:tc>
      </w:tr>
      <w:tr w:rsidR="00F96D85" w:rsidRPr="0074506D" w14:paraId="44EE7A46" w14:textId="77777777" w:rsidTr="00F40B03">
        <w:trPr>
          <w:cantSplit/>
        </w:trPr>
        <w:tc>
          <w:tcPr>
            <w:tcW w:w="2694" w:type="dxa"/>
            <w:tcBorders>
              <w:left w:val="nil"/>
              <w:right w:val="nil"/>
            </w:tcBorders>
            <w:shd w:val="clear" w:color="auto" w:fill="FFFFFF" w:themeFill="background1"/>
            <w:vAlign w:val="center"/>
          </w:tcPr>
          <w:p w14:paraId="10D584F4" w14:textId="77777777" w:rsidR="00F96D85" w:rsidRPr="0074506D" w:rsidRDefault="00F96D85" w:rsidP="00380F5D">
            <w:pPr>
              <w:rPr>
                <w:rFonts w:ascii="Arial" w:hAnsi="Arial" w:cs="Arial"/>
                <w:sz w:val="20"/>
                <w:szCs w:val="20"/>
              </w:rPr>
            </w:pPr>
            <w:r w:rsidRPr="0074506D">
              <w:rPr>
                <w:rFonts w:ascii="Arial" w:hAnsi="Arial" w:cs="Arial"/>
                <w:sz w:val="20"/>
                <w:szCs w:val="20"/>
              </w:rPr>
              <w:t>Key External Relationships</w:t>
            </w:r>
          </w:p>
        </w:tc>
        <w:tc>
          <w:tcPr>
            <w:tcW w:w="6322" w:type="dxa"/>
            <w:tcBorders>
              <w:left w:val="nil"/>
              <w:right w:val="nil"/>
            </w:tcBorders>
            <w:shd w:val="clear" w:color="auto" w:fill="FFFFFF" w:themeFill="background1"/>
            <w:vAlign w:val="center"/>
          </w:tcPr>
          <w:p w14:paraId="7349F94A" w14:textId="5E61523C" w:rsidR="007766BC" w:rsidRDefault="007766BC" w:rsidP="007766BC">
            <w:pPr>
              <w:numPr>
                <w:ilvl w:val="0"/>
                <w:numId w:val="10"/>
              </w:numPr>
              <w:suppressAutoHyphens/>
              <w:rPr>
                <w:rFonts w:ascii="Arial" w:hAnsi="Arial" w:cs="Arial"/>
                <w:sz w:val="20"/>
              </w:rPr>
            </w:pPr>
            <w:r w:rsidRPr="00031046">
              <w:rPr>
                <w:rFonts w:ascii="Arial" w:hAnsi="Arial" w:cs="Arial"/>
                <w:sz w:val="20"/>
              </w:rPr>
              <w:t>NZQA</w:t>
            </w:r>
          </w:p>
          <w:p w14:paraId="569CA6E2" w14:textId="0ED1A9CB" w:rsidR="00FE6801" w:rsidRDefault="00CC2C78" w:rsidP="007766BC">
            <w:pPr>
              <w:numPr>
                <w:ilvl w:val="0"/>
                <w:numId w:val="10"/>
              </w:numPr>
              <w:suppressAutoHyphens/>
              <w:rPr>
                <w:rFonts w:ascii="Arial" w:hAnsi="Arial" w:cs="Arial"/>
                <w:sz w:val="20"/>
              </w:rPr>
            </w:pPr>
            <w:r>
              <w:rPr>
                <w:rFonts w:ascii="Arial" w:hAnsi="Arial" w:cs="Arial"/>
                <w:sz w:val="20"/>
              </w:rPr>
              <w:t>Accreditation and Registration bodies</w:t>
            </w:r>
          </w:p>
          <w:p w14:paraId="7194F002" w14:textId="77777777" w:rsidR="00F96D85" w:rsidRDefault="007766BC" w:rsidP="00FE6801">
            <w:pPr>
              <w:numPr>
                <w:ilvl w:val="0"/>
                <w:numId w:val="10"/>
              </w:numPr>
              <w:suppressAutoHyphens/>
              <w:rPr>
                <w:rFonts w:ascii="Arial" w:hAnsi="Arial" w:cs="Arial"/>
                <w:sz w:val="20"/>
              </w:rPr>
            </w:pPr>
            <w:r>
              <w:rPr>
                <w:rFonts w:ascii="Arial" w:hAnsi="Arial" w:cs="Arial"/>
                <w:sz w:val="20"/>
              </w:rPr>
              <w:t>Other government agencies</w:t>
            </w:r>
          </w:p>
          <w:p w14:paraId="2294E3A8" w14:textId="6AE27360" w:rsidR="00BE3953" w:rsidRPr="00FE6801" w:rsidRDefault="00BE3953" w:rsidP="00FE6801">
            <w:pPr>
              <w:numPr>
                <w:ilvl w:val="0"/>
                <w:numId w:val="10"/>
              </w:numPr>
              <w:suppressAutoHyphens/>
              <w:rPr>
                <w:rFonts w:ascii="Arial" w:hAnsi="Arial" w:cs="Arial"/>
                <w:sz w:val="20"/>
              </w:rPr>
            </w:pPr>
            <w:r>
              <w:rPr>
                <w:rFonts w:ascii="Arial" w:hAnsi="Arial" w:cs="Arial"/>
                <w:sz w:val="20"/>
              </w:rPr>
              <w:t>Other key stakeholders</w:t>
            </w:r>
          </w:p>
        </w:tc>
      </w:tr>
    </w:tbl>
    <w:p w14:paraId="15A9DF3A" w14:textId="77777777" w:rsidR="00BF37CF" w:rsidRPr="0074506D" w:rsidRDefault="00BF37CF"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2694"/>
        <w:gridCol w:w="6322"/>
      </w:tblGrid>
      <w:tr w:rsidR="00BF37CF" w:rsidRPr="0074506D" w14:paraId="6BFBB4F1" w14:textId="77777777" w:rsidTr="00AE2B28">
        <w:trPr>
          <w:trHeight w:val="442"/>
        </w:trPr>
        <w:tc>
          <w:tcPr>
            <w:tcW w:w="9016" w:type="dxa"/>
            <w:gridSpan w:val="2"/>
            <w:tcBorders>
              <w:left w:val="nil"/>
              <w:right w:val="nil"/>
            </w:tcBorders>
            <w:shd w:val="clear" w:color="auto" w:fill="F2F2F2" w:themeFill="background1" w:themeFillShade="F2"/>
            <w:vAlign w:val="center"/>
          </w:tcPr>
          <w:p w14:paraId="30E5690C" w14:textId="0338E48F" w:rsidR="00BF37CF" w:rsidRPr="0074506D" w:rsidRDefault="00F40B03" w:rsidP="00380F5D">
            <w:pPr>
              <w:rPr>
                <w:rFonts w:ascii="Arial" w:hAnsi="Arial" w:cs="Arial"/>
                <w:b/>
                <w:sz w:val="20"/>
                <w:szCs w:val="20"/>
              </w:rPr>
            </w:pPr>
            <w:r w:rsidRPr="0074506D">
              <w:rPr>
                <w:rFonts w:ascii="Arial" w:hAnsi="Arial" w:cs="Arial"/>
                <w:b/>
                <w:sz w:val="20"/>
                <w:szCs w:val="20"/>
              </w:rPr>
              <w:t>Person Specifications</w:t>
            </w:r>
          </w:p>
        </w:tc>
      </w:tr>
      <w:tr w:rsidR="00736630" w:rsidRPr="0074506D" w14:paraId="345ADF3F" w14:textId="77777777" w:rsidTr="00AE2B28">
        <w:trPr>
          <w:trHeight w:val="442"/>
        </w:trPr>
        <w:tc>
          <w:tcPr>
            <w:tcW w:w="2694" w:type="dxa"/>
            <w:tcBorders>
              <w:left w:val="nil"/>
              <w:right w:val="nil"/>
            </w:tcBorders>
            <w:shd w:val="clear" w:color="auto" w:fill="FFFFFF" w:themeFill="background1"/>
            <w:vAlign w:val="center"/>
          </w:tcPr>
          <w:p w14:paraId="32597B9C" w14:textId="54C773BA" w:rsidR="00F84237" w:rsidRPr="0074506D" w:rsidRDefault="00736630" w:rsidP="00F40B03">
            <w:pPr>
              <w:rPr>
                <w:rFonts w:ascii="Arial" w:hAnsi="Arial" w:cs="Arial"/>
                <w:sz w:val="20"/>
                <w:szCs w:val="20"/>
              </w:rPr>
            </w:pPr>
            <w:r w:rsidRPr="0074506D">
              <w:rPr>
                <w:rFonts w:ascii="Arial" w:hAnsi="Arial" w:cs="Arial"/>
                <w:sz w:val="20"/>
                <w:szCs w:val="20"/>
              </w:rPr>
              <w:t>Qualifications and Experience</w:t>
            </w:r>
          </w:p>
        </w:tc>
        <w:tc>
          <w:tcPr>
            <w:tcW w:w="6322" w:type="dxa"/>
            <w:tcBorders>
              <w:left w:val="nil"/>
              <w:right w:val="nil"/>
            </w:tcBorders>
            <w:shd w:val="clear" w:color="auto" w:fill="FFFFFF" w:themeFill="background1"/>
            <w:vAlign w:val="center"/>
          </w:tcPr>
          <w:p w14:paraId="7CDEA7CE" w14:textId="77777777" w:rsidR="00B40C7B" w:rsidRPr="00B40C7B" w:rsidRDefault="00B40C7B" w:rsidP="00B40C7B">
            <w:pPr>
              <w:numPr>
                <w:ilvl w:val="0"/>
                <w:numId w:val="10"/>
              </w:numPr>
              <w:suppressAutoHyphens/>
              <w:spacing w:line="276" w:lineRule="auto"/>
              <w:jc w:val="both"/>
              <w:rPr>
                <w:rFonts w:ascii="Arial" w:hAnsi="Arial"/>
                <w:sz w:val="20"/>
              </w:rPr>
            </w:pPr>
            <w:r w:rsidRPr="00B40C7B">
              <w:rPr>
                <w:rFonts w:ascii="Arial" w:hAnsi="Arial"/>
                <w:sz w:val="20"/>
              </w:rPr>
              <w:t>Has experience in working within a complex environment and delivering high quality services, preferably in a tertiary education environment</w:t>
            </w:r>
          </w:p>
          <w:p w14:paraId="04D88F4A" w14:textId="77777777" w:rsidR="00B40C7B" w:rsidRPr="00B40C7B" w:rsidRDefault="00B40C7B" w:rsidP="00B40C7B">
            <w:pPr>
              <w:numPr>
                <w:ilvl w:val="0"/>
                <w:numId w:val="10"/>
              </w:numPr>
              <w:suppressAutoHyphens/>
              <w:spacing w:line="276" w:lineRule="auto"/>
              <w:jc w:val="both"/>
              <w:rPr>
                <w:rFonts w:ascii="Arial" w:hAnsi="Arial"/>
                <w:sz w:val="20"/>
              </w:rPr>
            </w:pPr>
            <w:r w:rsidRPr="00B40C7B">
              <w:rPr>
                <w:rFonts w:ascii="Arial" w:hAnsi="Arial"/>
                <w:sz w:val="20"/>
              </w:rPr>
              <w:t>Has proven experience in providing flexible and effective client support, and working with clients in a way they experience as professional, positive, friendly, and responsive.</w:t>
            </w:r>
          </w:p>
          <w:p w14:paraId="2DE7E577" w14:textId="36FF7E62" w:rsidR="00736630" w:rsidRPr="00106799" w:rsidRDefault="00B40C7B" w:rsidP="00B40C7B">
            <w:pPr>
              <w:numPr>
                <w:ilvl w:val="0"/>
                <w:numId w:val="10"/>
              </w:numPr>
              <w:suppressAutoHyphens/>
              <w:spacing w:line="276" w:lineRule="auto"/>
              <w:jc w:val="both"/>
              <w:rPr>
                <w:rFonts w:ascii="Arial" w:hAnsi="Arial"/>
                <w:sz w:val="20"/>
              </w:rPr>
            </w:pPr>
            <w:r w:rsidRPr="00B40C7B">
              <w:rPr>
                <w:rFonts w:ascii="Arial" w:hAnsi="Arial"/>
                <w:sz w:val="20"/>
              </w:rPr>
              <w:t>Demonstrates a high level of competence in use of office computing systems (incl. word</w:t>
            </w:r>
            <w:r>
              <w:rPr>
                <w:rFonts w:ascii="Arial" w:hAnsi="Arial"/>
                <w:sz w:val="20"/>
              </w:rPr>
              <w:t>-</w:t>
            </w:r>
            <w:r w:rsidRPr="00B40C7B">
              <w:rPr>
                <w:rFonts w:ascii="Arial" w:hAnsi="Arial"/>
                <w:sz w:val="20"/>
              </w:rPr>
              <w:t>processing, electronic document management, spreadsheet, email, database and document presentation systems)</w:t>
            </w:r>
            <w:r>
              <w:rPr>
                <w:rFonts w:ascii="Arial" w:hAnsi="Arial"/>
                <w:sz w:val="20"/>
              </w:rPr>
              <w:t>.</w:t>
            </w:r>
          </w:p>
        </w:tc>
      </w:tr>
      <w:tr w:rsidR="00F84237" w:rsidRPr="0074506D" w14:paraId="4A26A34B" w14:textId="77777777" w:rsidTr="00AE2B28">
        <w:trPr>
          <w:trHeight w:val="442"/>
        </w:trPr>
        <w:tc>
          <w:tcPr>
            <w:tcW w:w="2694" w:type="dxa"/>
            <w:tcBorders>
              <w:left w:val="nil"/>
              <w:right w:val="nil"/>
            </w:tcBorders>
            <w:shd w:val="clear" w:color="auto" w:fill="FFFFFF" w:themeFill="background1"/>
            <w:vAlign w:val="center"/>
          </w:tcPr>
          <w:p w14:paraId="5838D0E1" w14:textId="32BCEA3C" w:rsidR="00F84237" w:rsidRPr="0074506D" w:rsidRDefault="00F84237" w:rsidP="00F40B03">
            <w:pPr>
              <w:rPr>
                <w:rFonts w:ascii="Arial" w:hAnsi="Arial" w:cs="Arial"/>
                <w:sz w:val="20"/>
                <w:szCs w:val="20"/>
              </w:rPr>
            </w:pPr>
            <w:r w:rsidRPr="0074506D">
              <w:rPr>
                <w:rFonts w:ascii="Arial" w:hAnsi="Arial" w:cs="Arial"/>
                <w:sz w:val="20"/>
                <w:szCs w:val="20"/>
              </w:rPr>
              <w:t>Specialist Knowledge and Skills</w:t>
            </w:r>
          </w:p>
        </w:tc>
        <w:tc>
          <w:tcPr>
            <w:tcW w:w="6322" w:type="dxa"/>
            <w:tcBorders>
              <w:left w:val="nil"/>
              <w:right w:val="nil"/>
            </w:tcBorders>
            <w:shd w:val="clear" w:color="auto" w:fill="FFFFFF" w:themeFill="background1"/>
            <w:vAlign w:val="center"/>
          </w:tcPr>
          <w:p w14:paraId="72963EFD" w14:textId="20EEEBEF" w:rsidR="009852C3" w:rsidRPr="009852C3" w:rsidRDefault="00652037" w:rsidP="009852C3">
            <w:pPr>
              <w:pStyle w:val="ListParagraph"/>
              <w:numPr>
                <w:ilvl w:val="0"/>
                <w:numId w:val="11"/>
              </w:numPr>
              <w:suppressAutoHyphens/>
              <w:spacing w:line="276" w:lineRule="auto"/>
              <w:jc w:val="both"/>
              <w:rPr>
                <w:rFonts w:ascii="Arial" w:hAnsi="Arial" w:cs="Arial"/>
                <w:sz w:val="20"/>
                <w:szCs w:val="20"/>
              </w:rPr>
            </w:pPr>
            <w:r>
              <w:rPr>
                <w:rFonts w:ascii="Arial" w:hAnsi="Arial" w:cs="Arial"/>
                <w:sz w:val="20"/>
                <w:szCs w:val="20"/>
              </w:rPr>
              <w:t>H</w:t>
            </w:r>
            <w:r w:rsidR="009852C3" w:rsidRPr="009852C3">
              <w:rPr>
                <w:rFonts w:ascii="Arial" w:hAnsi="Arial" w:cs="Arial"/>
                <w:sz w:val="20"/>
                <w:szCs w:val="20"/>
              </w:rPr>
              <w:t>as highly effective organisational skills, including strong ability to prioritise</w:t>
            </w:r>
          </w:p>
          <w:p w14:paraId="08FB5A3D" w14:textId="77777777" w:rsidR="009852C3" w:rsidRPr="009852C3" w:rsidRDefault="009852C3" w:rsidP="009852C3">
            <w:pPr>
              <w:pStyle w:val="ListParagraph"/>
              <w:numPr>
                <w:ilvl w:val="0"/>
                <w:numId w:val="11"/>
              </w:numPr>
              <w:suppressAutoHyphens/>
              <w:spacing w:line="276" w:lineRule="auto"/>
              <w:jc w:val="both"/>
              <w:rPr>
                <w:rFonts w:ascii="Arial" w:hAnsi="Arial" w:cs="Arial"/>
                <w:sz w:val="20"/>
                <w:szCs w:val="20"/>
              </w:rPr>
            </w:pPr>
            <w:r w:rsidRPr="009852C3">
              <w:rPr>
                <w:rFonts w:ascii="Arial" w:hAnsi="Arial" w:cs="Arial"/>
                <w:sz w:val="20"/>
                <w:szCs w:val="20"/>
              </w:rPr>
              <w:t>Demonstrates initiative and ability to think and plan ahead.</w:t>
            </w:r>
          </w:p>
          <w:p w14:paraId="2DC1800C" w14:textId="77777777" w:rsidR="009852C3" w:rsidRPr="009852C3" w:rsidRDefault="009852C3" w:rsidP="009852C3">
            <w:pPr>
              <w:pStyle w:val="ListParagraph"/>
              <w:numPr>
                <w:ilvl w:val="0"/>
                <w:numId w:val="11"/>
              </w:numPr>
              <w:suppressAutoHyphens/>
              <w:spacing w:line="276" w:lineRule="auto"/>
              <w:jc w:val="both"/>
              <w:rPr>
                <w:rFonts w:ascii="Arial" w:hAnsi="Arial" w:cs="Arial"/>
                <w:sz w:val="20"/>
                <w:szCs w:val="20"/>
              </w:rPr>
            </w:pPr>
            <w:r w:rsidRPr="009852C3">
              <w:rPr>
                <w:rFonts w:ascii="Arial" w:hAnsi="Arial" w:cs="Arial"/>
                <w:sz w:val="20"/>
                <w:szCs w:val="20"/>
              </w:rPr>
              <w:t xml:space="preserve">Demonstrates problem-solving ability </w:t>
            </w:r>
          </w:p>
          <w:p w14:paraId="16B21D9C" w14:textId="08DDF4C3" w:rsidR="00F84237" w:rsidRPr="0074506D" w:rsidRDefault="009852C3" w:rsidP="009852C3">
            <w:pPr>
              <w:pStyle w:val="ListParagraph"/>
              <w:numPr>
                <w:ilvl w:val="0"/>
                <w:numId w:val="11"/>
              </w:numPr>
              <w:suppressAutoHyphens/>
              <w:spacing w:line="276" w:lineRule="auto"/>
              <w:contextualSpacing w:val="0"/>
              <w:jc w:val="both"/>
              <w:rPr>
                <w:rFonts w:ascii="Arial" w:hAnsi="Arial" w:cs="Arial"/>
                <w:sz w:val="20"/>
                <w:szCs w:val="20"/>
              </w:rPr>
            </w:pPr>
            <w:r w:rsidRPr="009852C3">
              <w:rPr>
                <w:rFonts w:ascii="Arial" w:hAnsi="Arial" w:cs="Arial"/>
                <w:sz w:val="20"/>
                <w:szCs w:val="20"/>
              </w:rPr>
              <w:t>A strong commitment to accuracy and continuous quality improvement in performanc</w:t>
            </w:r>
            <w:r w:rsidR="00652037">
              <w:rPr>
                <w:rFonts w:ascii="Arial" w:hAnsi="Arial" w:cs="Arial"/>
                <w:sz w:val="20"/>
                <w:szCs w:val="20"/>
              </w:rPr>
              <w:t>e</w:t>
            </w:r>
          </w:p>
        </w:tc>
      </w:tr>
      <w:tr w:rsidR="00736630" w:rsidRPr="0074506D" w14:paraId="3D9039B9" w14:textId="77777777" w:rsidTr="00AE2B28">
        <w:trPr>
          <w:trHeight w:val="442"/>
        </w:trPr>
        <w:tc>
          <w:tcPr>
            <w:tcW w:w="2694" w:type="dxa"/>
            <w:tcBorders>
              <w:left w:val="nil"/>
              <w:right w:val="nil"/>
            </w:tcBorders>
            <w:shd w:val="clear" w:color="auto" w:fill="FFFFFF" w:themeFill="background1"/>
            <w:vAlign w:val="center"/>
          </w:tcPr>
          <w:p w14:paraId="1D3345A3" w14:textId="765D74FD" w:rsidR="00380F5D" w:rsidRPr="0074506D" w:rsidRDefault="00F84237" w:rsidP="00F40B03">
            <w:pPr>
              <w:rPr>
                <w:rFonts w:ascii="Arial" w:hAnsi="Arial" w:cs="Arial"/>
                <w:sz w:val="20"/>
                <w:szCs w:val="20"/>
              </w:rPr>
            </w:pPr>
            <w:r w:rsidRPr="0074506D">
              <w:rPr>
                <w:rFonts w:ascii="Arial" w:hAnsi="Arial" w:cs="Arial"/>
                <w:sz w:val="20"/>
                <w:szCs w:val="20"/>
              </w:rPr>
              <w:lastRenderedPageBreak/>
              <w:t>Personal Attributes</w:t>
            </w:r>
          </w:p>
        </w:tc>
        <w:tc>
          <w:tcPr>
            <w:tcW w:w="6322" w:type="dxa"/>
            <w:tcBorders>
              <w:left w:val="nil"/>
              <w:right w:val="nil"/>
            </w:tcBorders>
            <w:shd w:val="clear" w:color="auto" w:fill="FFFFFF" w:themeFill="background1"/>
            <w:vAlign w:val="center"/>
          </w:tcPr>
          <w:p w14:paraId="61DEB732" w14:textId="6DDF6DB1" w:rsidR="00FF1AA6" w:rsidRDefault="00FF1AA6" w:rsidP="00FF1AA6">
            <w:pPr>
              <w:pStyle w:val="ListParagraph"/>
              <w:numPr>
                <w:ilvl w:val="0"/>
                <w:numId w:val="11"/>
              </w:numPr>
              <w:suppressAutoHyphens/>
              <w:spacing w:line="276" w:lineRule="auto"/>
              <w:ind w:left="350" w:hanging="350"/>
              <w:contextualSpacing w:val="0"/>
              <w:jc w:val="both"/>
              <w:rPr>
                <w:rFonts w:ascii="Arial" w:hAnsi="Arial" w:cs="Arial"/>
                <w:sz w:val="20"/>
              </w:rPr>
            </w:pPr>
            <w:r>
              <w:rPr>
                <w:rFonts w:ascii="Arial" w:hAnsi="Arial" w:cs="Arial"/>
                <w:sz w:val="20"/>
              </w:rPr>
              <w:t xml:space="preserve">Demonstrates ability to work positively and constructively with others to enable, and build, </w:t>
            </w:r>
            <w:r w:rsidR="00253CC8">
              <w:rPr>
                <w:rFonts w:ascii="Arial" w:hAnsi="Arial" w:cs="Arial"/>
                <w:sz w:val="20"/>
              </w:rPr>
              <w:t>evaluative practice</w:t>
            </w:r>
          </w:p>
          <w:p w14:paraId="51A747D3" w14:textId="4E0DADA6" w:rsidR="00736630" w:rsidRDefault="007766BC" w:rsidP="007766BC">
            <w:pPr>
              <w:pStyle w:val="ListParagraph"/>
              <w:numPr>
                <w:ilvl w:val="0"/>
                <w:numId w:val="11"/>
              </w:numPr>
              <w:rPr>
                <w:rFonts w:ascii="Arial" w:hAnsi="Arial" w:cs="Arial"/>
                <w:sz w:val="20"/>
                <w:szCs w:val="20"/>
              </w:rPr>
            </w:pPr>
            <w:r w:rsidRPr="007766BC">
              <w:rPr>
                <w:rFonts w:ascii="Arial" w:hAnsi="Arial" w:cs="Arial"/>
                <w:sz w:val="20"/>
                <w:szCs w:val="20"/>
              </w:rPr>
              <w:t>Inspires others by consistently demonstrating positivity, energy, resilience and commitment</w:t>
            </w:r>
          </w:p>
          <w:p w14:paraId="5E3EE412" w14:textId="6EE1CEC6" w:rsidR="00FF1AA6" w:rsidRPr="00FF1AA6" w:rsidRDefault="00FF1AA6" w:rsidP="00FF1AA6">
            <w:pPr>
              <w:pStyle w:val="ListParagraph"/>
              <w:numPr>
                <w:ilvl w:val="0"/>
                <w:numId w:val="11"/>
              </w:numPr>
              <w:rPr>
                <w:rFonts w:ascii="Arial" w:hAnsi="Arial" w:cs="Arial"/>
                <w:sz w:val="20"/>
                <w:szCs w:val="20"/>
              </w:rPr>
            </w:pPr>
            <w:r w:rsidRPr="00FF1AA6">
              <w:rPr>
                <w:rFonts w:ascii="Arial" w:hAnsi="Arial" w:cs="Arial"/>
                <w:sz w:val="20"/>
                <w:szCs w:val="20"/>
              </w:rPr>
              <w:t>Communicates clearly and succinctly, both verbally and in writing</w:t>
            </w:r>
            <w:r>
              <w:rPr>
                <w:rFonts w:ascii="Arial" w:hAnsi="Arial" w:cs="Arial"/>
                <w:sz w:val="20"/>
                <w:szCs w:val="20"/>
              </w:rPr>
              <w:t xml:space="preserve"> and in a variety of contexts</w:t>
            </w:r>
          </w:p>
          <w:p w14:paraId="7DCB9503" w14:textId="4A29EDDA" w:rsidR="00FF1AA6" w:rsidRDefault="00716181" w:rsidP="007766BC">
            <w:pPr>
              <w:pStyle w:val="ListParagraph"/>
              <w:numPr>
                <w:ilvl w:val="0"/>
                <w:numId w:val="11"/>
              </w:numPr>
              <w:rPr>
                <w:rFonts w:ascii="Arial" w:hAnsi="Arial" w:cs="Arial"/>
                <w:sz w:val="20"/>
                <w:szCs w:val="20"/>
              </w:rPr>
            </w:pPr>
            <w:r>
              <w:rPr>
                <w:rFonts w:ascii="Arial" w:hAnsi="Arial" w:cs="Arial"/>
                <w:sz w:val="20"/>
                <w:szCs w:val="20"/>
              </w:rPr>
              <w:t>W</w:t>
            </w:r>
            <w:r w:rsidRPr="00716181">
              <w:rPr>
                <w:rFonts w:ascii="Arial" w:hAnsi="Arial" w:cs="Arial"/>
                <w:sz w:val="20"/>
                <w:szCs w:val="20"/>
              </w:rPr>
              <w:t>orks very effectively as a member of a team. Values the contributions of others. Supports others to be more effective</w:t>
            </w:r>
          </w:p>
          <w:p w14:paraId="53033835" w14:textId="2297DB24" w:rsidR="007766BC" w:rsidRPr="0074506D" w:rsidRDefault="00716181" w:rsidP="00716181">
            <w:pPr>
              <w:pStyle w:val="ListParagraph"/>
              <w:numPr>
                <w:ilvl w:val="0"/>
                <w:numId w:val="11"/>
              </w:numPr>
              <w:rPr>
                <w:rFonts w:ascii="Arial" w:hAnsi="Arial" w:cs="Arial"/>
                <w:sz w:val="20"/>
                <w:szCs w:val="20"/>
              </w:rPr>
            </w:pPr>
            <w:r w:rsidRPr="00716181">
              <w:rPr>
                <w:rFonts w:ascii="Arial" w:hAnsi="Arial" w:cs="Arial"/>
                <w:sz w:val="20"/>
                <w:szCs w:val="20"/>
              </w:rPr>
              <w:t>Is able to manage competing demands effectively, get things done, and meets commitments made to others</w:t>
            </w:r>
          </w:p>
        </w:tc>
      </w:tr>
    </w:tbl>
    <w:p w14:paraId="52157527" w14:textId="77777777" w:rsidR="00BF37CF" w:rsidRPr="0074506D" w:rsidRDefault="00BF37CF" w:rsidP="00380F5D">
      <w:pPr>
        <w:spacing w:after="0"/>
        <w:jc w:val="both"/>
        <w:rPr>
          <w:rFonts w:ascii="Arial" w:eastAsia="Arial" w:hAnsi="Arial" w:cs="Arial"/>
          <w:b/>
          <w:sz w:val="20"/>
          <w:szCs w:val="20"/>
        </w:rPr>
      </w:pPr>
    </w:p>
    <w:sectPr w:rsidR="00BF37CF" w:rsidRPr="0074506D" w:rsidSect="00380F5D">
      <w:footerReference w:type="default" r:id="rId11"/>
      <w:headerReference w:type="first" r:id="rId12"/>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5FB2A" w14:textId="77777777" w:rsidR="00492DF1" w:rsidRDefault="00492DF1" w:rsidP="00BF37CF">
      <w:pPr>
        <w:spacing w:after="0" w:line="240" w:lineRule="auto"/>
      </w:pPr>
      <w:r>
        <w:separator/>
      </w:r>
    </w:p>
  </w:endnote>
  <w:endnote w:type="continuationSeparator" w:id="0">
    <w:p w14:paraId="2DE90119" w14:textId="77777777" w:rsidR="00492DF1" w:rsidRDefault="00492DF1" w:rsidP="00BF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567078"/>
      <w:docPartObj>
        <w:docPartGallery w:val="Page Numbers (Bottom of Page)"/>
        <w:docPartUnique/>
      </w:docPartObj>
    </w:sdtPr>
    <w:sdtEndPr>
      <w:rPr>
        <w:rFonts w:ascii="Arial" w:hAnsi="Arial" w:cs="Arial"/>
        <w:noProof/>
        <w:sz w:val="20"/>
      </w:rPr>
    </w:sdtEndPr>
    <w:sdtContent>
      <w:p w14:paraId="4A74B1B7" w14:textId="77777777" w:rsidR="00BF37CF" w:rsidRPr="00BF37CF" w:rsidRDefault="00BF37CF">
        <w:pPr>
          <w:pStyle w:val="Footer"/>
          <w:jc w:val="center"/>
          <w:rPr>
            <w:rFonts w:ascii="Arial" w:hAnsi="Arial" w:cs="Arial"/>
            <w:sz w:val="20"/>
          </w:rPr>
        </w:pPr>
        <w:r w:rsidRPr="00BF37CF">
          <w:rPr>
            <w:rFonts w:ascii="Arial" w:hAnsi="Arial" w:cs="Arial"/>
            <w:sz w:val="20"/>
          </w:rPr>
          <w:fldChar w:fldCharType="begin"/>
        </w:r>
        <w:r w:rsidRPr="00BF37CF">
          <w:rPr>
            <w:rFonts w:ascii="Arial" w:hAnsi="Arial" w:cs="Arial"/>
            <w:sz w:val="20"/>
          </w:rPr>
          <w:instrText xml:space="preserve"> PAGE   \* MERGEFORMAT </w:instrText>
        </w:r>
        <w:r w:rsidRPr="00BF37CF">
          <w:rPr>
            <w:rFonts w:ascii="Arial" w:hAnsi="Arial" w:cs="Arial"/>
            <w:sz w:val="20"/>
          </w:rPr>
          <w:fldChar w:fldCharType="separate"/>
        </w:r>
        <w:r w:rsidR="001543E5">
          <w:rPr>
            <w:rFonts w:ascii="Arial" w:hAnsi="Arial" w:cs="Arial"/>
            <w:noProof/>
            <w:sz w:val="20"/>
          </w:rPr>
          <w:t>4</w:t>
        </w:r>
        <w:r w:rsidRPr="00BF37CF">
          <w:rPr>
            <w:rFonts w:ascii="Arial" w:hAnsi="Arial" w:cs="Arial"/>
            <w:noProof/>
            <w:sz w:val="20"/>
          </w:rPr>
          <w:fldChar w:fldCharType="end"/>
        </w:r>
      </w:p>
    </w:sdtContent>
  </w:sdt>
  <w:p w14:paraId="79D29E1B" w14:textId="77777777" w:rsidR="00BF37CF" w:rsidRDefault="00BF3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358B8" w14:textId="77777777" w:rsidR="00492DF1" w:rsidRDefault="00492DF1" w:rsidP="00BF37CF">
      <w:pPr>
        <w:spacing w:after="0" w:line="240" w:lineRule="auto"/>
      </w:pPr>
      <w:r>
        <w:separator/>
      </w:r>
    </w:p>
  </w:footnote>
  <w:footnote w:type="continuationSeparator" w:id="0">
    <w:p w14:paraId="4C9FFDC4" w14:textId="77777777" w:rsidR="00492DF1" w:rsidRDefault="00492DF1" w:rsidP="00BF3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82DD" w14:textId="0ED1219A" w:rsidR="00380F5D" w:rsidRDefault="00380F5D">
    <w:pPr>
      <w:pStyle w:val="Header"/>
    </w:pPr>
    <w:r w:rsidRPr="00877425">
      <w:rPr>
        <w:rFonts w:eastAsia="Times New Roman" w:cs="Arial"/>
        <w:noProof/>
        <w:position w:val="-27"/>
        <w:sz w:val="20"/>
        <w:szCs w:val="20"/>
        <w:lang w:eastAsia="en-NZ"/>
      </w:rPr>
      <w:drawing>
        <wp:anchor distT="0" distB="0" distL="114300" distR="114300" simplePos="0" relativeHeight="251659264" behindDoc="1" locked="0" layoutInCell="1" allowOverlap="1" wp14:anchorId="0802C1E1" wp14:editId="58854EFF">
          <wp:simplePos x="0" y="0"/>
          <wp:positionH relativeFrom="margin">
            <wp:posOffset>578644</wp:posOffset>
          </wp:positionH>
          <wp:positionV relativeFrom="paragraph">
            <wp:posOffset>-172085</wp:posOffset>
          </wp:positionV>
          <wp:extent cx="4581525" cy="941611"/>
          <wp:effectExtent l="0" t="0" r="0" b="0"/>
          <wp:wrapTight wrapText="bothSides">
            <wp:wrapPolygon edited="0">
              <wp:start x="0" y="0"/>
              <wp:lineTo x="0" y="20988"/>
              <wp:lineTo x="21465" y="20988"/>
              <wp:lineTo x="21465" y="0"/>
              <wp:lineTo x="0" y="0"/>
            </wp:wrapPolygon>
          </wp:wrapTight>
          <wp:docPr id="3" name="Picture 3" descr="I:\Human Resources\1a) HR Team\Aimee's Files\Logos\W&amp;W_Joint_brandin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uman Resources\1a) HR Team\Aimee's Files\Logos\W&amp;W_Joint_branding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81525" cy="941611"/>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2B6F8C"/>
    <w:multiLevelType w:val="hybridMultilevel"/>
    <w:tmpl w:val="38581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A17D75"/>
    <w:multiLevelType w:val="hybridMultilevel"/>
    <w:tmpl w:val="8EFE45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7131E09"/>
    <w:multiLevelType w:val="hybridMultilevel"/>
    <w:tmpl w:val="CC4CF5D6"/>
    <w:lvl w:ilvl="0" w:tplc="365A7ABE">
      <w:start w:val="1"/>
      <w:numFmt w:val="bullet"/>
      <w:lvlText w:val=""/>
      <w:lvlJc w:val="left"/>
      <w:pPr>
        <w:ind w:left="515" w:hanging="281"/>
      </w:pPr>
      <w:rPr>
        <w:rFonts w:ascii="Symbol" w:eastAsia="Symbol" w:hAnsi="Symbol" w:hint="default"/>
        <w:w w:val="10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CE7F5B"/>
    <w:multiLevelType w:val="hybridMultilevel"/>
    <w:tmpl w:val="2CF05C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1">
      <w:start w:val="1"/>
      <w:numFmt w:val="bullet"/>
      <w:lvlText w:val=""/>
      <w:lvlJc w:val="left"/>
      <w:pPr>
        <w:ind w:left="2160" w:hanging="360"/>
      </w:pPr>
      <w:rPr>
        <w:rFonts w:ascii="Symbol" w:hAnsi="Symbo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DD1002"/>
    <w:multiLevelType w:val="hybridMultilevel"/>
    <w:tmpl w:val="A0FC63B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6" w15:restartNumberingAfterBreak="0">
    <w:nsid w:val="170E184A"/>
    <w:multiLevelType w:val="hybridMultilevel"/>
    <w:tmpl w:val="5A6075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3A65402"/>
    <w:multiLevelType w:val="hybridMultilevel"/>
    <w:tmpl w:val="494A06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5630A7D"/>
    <w:multiLevelType w:val="hybridMultilevel"/>
    <w:tmpl w:val="5FA48118"/>
    <w:lvl w:ilvl="0" w:tplc="14090001">
      <w:start w:val="1"/>
      <w:numFmt w:val="bullet"/>
      <w:lvlText w:val=""/>
      <w:lvlJc w:val="left"/>
      <w:pPr>
        <w:ind w:left="720" w:hanging="360"/>
      </w:pPr>
      <w:rPr>
        <w:rFonts w:ascii="Symbol" w:hAnsi="Symbol" w:hint="default"/>
      </w:rPr>
    </w:lvl>
    <w:lvl w:ilvl="1" w:tplc="F9D88888">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62016C"/>
    <w:multiLevelType w:val="hybridMultilevel"/>
    <w:tmpl w:val="8FF4ED86"/>
    <w:lvl w:ilvl="0" w:tplc="DDFE0CEA">
      <w:start w:val="1"/>
      <w:numFmt w:val="bullet"/>
      <w:lvlText w:val=""/>
      <w:lvlJc w:val="left"/>
      <w:pPr>
        <w:ind w:left="607" w:hanging="361"/>
      </w:pPr>
      <w:rPr>
        <w:rFonts w:ascii="Symbol" w:eastAsia="Symbol" w:hAnsi="Symbol" w:hint="default"/>
        <w:w w:val="100"/>
        <w:sz w:val="22"/>
        <w:szCs w:val="22"/>
      </w:rPr>
    </w:lvl>
    <w:lvl w:ilvl="1" w:tplc="D67A8472">
      <w:start w:val="1"/>
      <w:numFmt w:val="bullet"/>
      <w:lvlText w:val="•"/>
      <w:lvlJc w:val="left"/>
      <w:pPr>
        <w:ind w:left="1164" w:hanging="361"/>
      </w:pPr>
      <w:rPr>
        <w:rFonts w:hint="default"/>
      </w:rPr>
    </w:lvl>
    <w:lvl w:ilvl="2" w:tplc="6B80A72E">
      <w:start w:val="1"/>
      <w:numFmt w:val="bullet"/>
      <w:lvlText w:val="•"/>
      <w:lvlJc w:val="left"/>
      <w:pPr>
        <w:ind w:left="1729" w:hanging="361"/>
      </w:pPr>
      <w:rPr>
        <w:rFonts w:hint="default"/>
      </w:rPr>
    </w:lvl>
    <w:lvl w:ilvl="3" w:tplc="3A5AF148">
      <w:start w:val="1"/>
      <w:numFmt w:val="bullet"/>
      <w:lvlText w:val="•"/>
      <w:lvlJc w:val="left"/>
      <w:pPr>
        <w:ind w:left="2294" w:hanging="361"/>
      </w:pPr>
      <w:rPr>
        <w:rFonts w:hint="default"/>
      </w:rPr>
    </w:lvl>
    <w:lvl w:ilvl="4" w:tplc="E88AA848">
      <w:start w:val="1"/>
      <w:numFmt w:val="bullet"/>
      <w:lvlText w:val="•"/>
      <w:lvlJc w:val="left"/>
      <w:pPr>
        <w:ind w:left="2859" w:hanging="361"/>
      </w:pPr>
      <w:rPr>
        <w:rFonts w:hint="default"/>
      </w:rPr>
    </w:lvl>
    <w:lvl w:ilvl="5" w:tplc="6B7A85E4">
      <w:start w:val="1"/>
      <w:numFmt w:val="bullet"/>
      <w:lvlText w:val="•"/>
      <w:lvlJc w:val="left"/>
      <w:pPr>
        <w:ind w:left="3424" w:hanging="361"/>
      </w:pPr>
      <w:rPr>
        <w:rFonts w:hint="default"/>
      </w:rPr>
    </w:lvl>
    <w:lvl w:ilvl="6" w:tplc="DD082DB6">
      <w:start w:val="1"/>
      <w:numFmt w:val="bullet"/>
      <w:lvlText w:val="•"/>
      <w:lvlJc w:val="left"/>
      <w:pPr>
        <w:ind w:left="3989" w:hanging="361"/>
      </w:pPr>
      <w:rPr>
        <w:rFonts w:hint="default"/>
      </w:rPr>
    </w:lvl>
    <w:lvl w:ilvl="7" w:tplc="E976E016">
      <w:start w:val="1"/>
      <w:numFmt w:val="bullet"/>
      <w:lvlText w:val="•"/>
      <w:lvlJc w:val="left"/>
      <w:pPr>
        <w:ind w:left="4554" w:hanging="361"/>
      </w:pPr>
      <w:rPr>
        <w:rFonts w:hint="default"/>
      </w:rPr>
    </w:lvl>
    <w:lvl w:ilvl="8" w:tplc="38244BE4">
      <w:start w:val="1"/>
      <w:numFmt w:val="bullet"/>
      <w:lvlText w:val="•"/>
      <w:lvlJc w:val="left"/>
      <w:pPr>
        <w:ind w:left="5119" w:hanging="361"/>
      </w:pPr>
      <w:rPr>
        <w:rFonts w:hint="default"/>
      </w:rPr>
    </w:lvl>
  </w:abstractNum>
  <w:abstractNum w:abstractNumId="10" w15:restartNumberingAfterBreak="0">
    <w:nsid w:val="3D331109"/>
    <w:multiLevelType w:val="hybridMultilevel"/>
    <w:tmpl w:val="A25E77CC"/>
    <w:lvl w:ilvl="0" w:tplc="1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60329DF"/>
    <w:multiLevelType w:val="hybridMultilevel"/>
    <w:tmpl w:val="FCFE63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F180FFA"/>
    <w:multiLevelType w:val="hybridMultilevel"/>
    <w:tmpl w:val="3E30200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4592E34"/>
    <w:multiLevelType w:val="hybridMultilevel"/>
    <w:tmpl w:val="799006F2"/>
    <w:lvl w:ilvl="0" w:tplc="14090001">
      <w:start w:val="1"/>
      <w:numFmt w:val="bullet"/>
      <w:lvlText w:val=""/>
      <w:lvlJc w:val="left"/>
      <w:pPr>
        <w:ind w:left="952" w:hanging="360"/>
      </w:pPr>
      <w:rPr>
        <w:rFonts w:ascii="Symbol" w:hAnsi="Symbol" w:hint="default"/>
      </w:rPr>
    </w:lvl>
    <w:lvl w:ilvl="1" w:tplc="14090003" w:tentative="1">
      <w:start w:val="1"/>
      <w:numFmt w:val="bullet"/>
      <w:lvlText w:val="o"/>
      <w:lvlJc w:val="left"/>
      <w:pPr>
        <w:ind w:left="1672" w:hanging="360"/>
      </w:pPr>
      <w:rPr>
        <w:rFonts w:ascii="Courier New" w:hAnsi="Courier New" w:cs="Courier New" w:hint="default"/>
      </w:rPr>
    </w:lvl>
    <w:lvl w:ilvl="2" w:tplc="14090005" w:tentative="1">
      <w:start w:val="1"/>
      <w:numFmt w:val="bullet"/>
      <w:lvlText w:val=""/>
      <w:lvlJc w:val="left"/>
      <w:pPr>
        <w:ind w:left="2392" w:hanging="360"/>
      </w:pPr>
      <w:rPr>
        <w:rFonts w:ascii="Wingdings" w:hAnsi="Wingdings" w:hint="default"/>
      </w:rPr>
    </w:lvl>
    <w:lvl w:ilvl="3" w:tplc="14090001" w:tentative="1">
      <w:start w:val="1"/>
      <w:numFmt w:val="bullet"/>
      <w:lvlText w:val=""/>
      <w:lvlJc w:val="left"/>
      <w:pPr>
        <w:ind w:left="3112" w:hanging="360"/>
      </w:pPr>
      <w:rPr>
        <w:rFonts w:ascii="Symbol" w:hAnsi="Symbol" w:hint="default"/>
      </w:rPr>
    </w:lvl>
    <w:lvl w:ilvl="4" w:tplc="14090003" w:tentative="1">
      <w:start w:val="1"/>
      <w:numFmt w:val="bullet"/>
      <w:lvlText w:val="o"/>
      <w:lvlJc w:val="left"/>
      <w:pPr>
        <w:ind w:left="3832" w:hanging="360"/>
      </w:pPr>
      <w:rPr>
        <w:rFonts w:ascii="Courier New" w:hAnsi="Courier New" w:cs="Courier New" w:hint="default"/>
      </w:rPr>
    </w:lvl>
    <w:lvl w:ilvl="5" w:tplc="14090005" w:tentative="1">
      <w:start w:val="1"/>
      <w:numFmt w:val="bullet"/>
      <w:lvlText w:val=""/>
      <w:lvlJc w:val="left"/>
      <w:pPr>
        <w:ind w:left="4552" w:hanging="360"/>
      </w:pPr>
      <w:rPr>
        <w:rFonts w:ascii="Wingdings" w:hAnsi="Wingdings" w:hint="default"/>
      </w:rPr>
    </w:lvl>
    <w:lvl w:ilvl="6" w:tplc="14090001" w:tentative="1">
      <w:start w:val="1"/>
      <w:numFmt w:val="bullet"/>
      <w:lvlText w:val=""/>
      <w:lvlJc w:val="left"/>
      <w:pPr>
        <w:ind w:left="5272" w:hanging="360"/>
      </w:pPr>
      <w:rPr>
        <w:rFonts w:ascii="Symbol" w:hAnsi="Symbol" w:hint="default"/>
      </w:rPr>
    </w:lvl>
    <w:lvl w:ilvl="7" w:tplc="14090003" w:tentative="1">
      <w:start w:val="1"/>
      <w:numFmt w:val="bullet"/>
      <w:lvlText w:val="o"/>
      <w:lvlJc w:val="left"/>
      <w:pPr>
        <w:ind w:left="5992" w:hanging="360"/>
      </w:pPr>
      <w:rPr>
        <w:rFonts w:ascii="Courier New" w:hAnsi="Courier New" w:cs="Courier New" w:hint="default"/>
      </w:rPr>
    </w:lvl>
    <w:lvl w:ilvl="8" w:tplc="14090005" w:tentative="1">
      <w:start w:val="1"/>
      <w:numFmt w:val="bullet"/>
      <w:lvlText w:val=""/>
      <w:lvlJc w:val="left"/>
      <w:pPr>
        <w:ind w:left="6712" w:hanging="360"/>
      </w:pPr>
      <w:rPr>
        <w:rFonts w:ascii="Wingdings" w:hAnsi="Wingdings" w:hint="default"/>
      </w:rPr>
    </w:lvl>
  </w:abstractNum>
  <w:abstractNum w:abstractNumId="14" w15:restartNumberingAfterBreak="0">
    <w:nsid w:val="5E7B4F13"/>
    <w:multiLevelType w:val="hybridMultilevel"/>
    <w:tmpl w:val="A120D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2DE37C0"/>
    <w:multiLevelType w:val="hybridMultilevel"/>
    <w:tmpl w:val="1A7A2FF0"/>
    <w:lvl w:ilvl="0" w:tplc="14090001">
      <w:start w:val="1"/>
      <w:numFmt w:val="bullet"/>
      <w:lvlText w:val=""/>
      <w:lvlJc w:val="left"/>
      <w:pPr>
        <w:ind w:left="948" w:hanging="360"/>
      </w:pPr>
      <w:rPr>
        <w:rFonts w:ascii="Symbol" w:hAnsi="Symbol" w:hint="default"/>
      </w:rPr>
    </w:lvl>
    <w:lvl w:ilvl="1" w:tplc="14090003" w:tentative="1">
      <w:start w:val="1"/>
      <w:numFmt w:val="bullet"/>
      <w:lvlText w:val="o"/>
      <w:lvlJc w:val="left"/>
      <w:pPr>
        <w:ind w:left="1668" w:hanging="360"/>
      </w:pPr>
      <w:rPr>
        <w:rFonts w:ascii="Courier New" w:hAnsi="Courier New" w:cs="Courier New" w:hint="default"/>
      </w:rPr>
    </w:lvl>
    <w:lvl w:ilvl="2" w:tplc="14090005" w:tentative="1">
      <w:start w:val="1"/>
      <w:numFmt w:val="bullet"/>
      <w:lvlText w:val=""/>
      <w:lvlJc w:val="left"/>
      <w:pPr>
        <w:ind w:left="2388" w:hanging="360"/>
      </w:pPr>
      <w:rPr>
        <w:rFonts w:ascii="Wingdings" w:hAnsi="Wingdings" w:hint="default"/>
      </w:rPr>
    </w:lvl>
    <w:lvl w:ilvl="3" w:tplc="14090001" w:tentative="1">
      <w:start w:val="1"/>
      <w:numFmt w:val="bullet"/>
      <w:lvlText w:val=""/>
      <w:lvlJc w:val="left"/>
      <w:pPr>
        <w:ind w:left="3108" w:hanging="360"/>
      </w:pPr>
      <w:rPr>
        <w:rFonts w:ascii="Symbol" w:hAnsi="Symbol" w:hint="default"/>
      </w:rPr>
    </w:lvl>
    <w:lvl w:ilvl="4" w:tplc="14090003" w:tentative="1">
      <w:start w:val="1"/>
      <w:numFmt w:val="bullet"/>
      <w:lvlText w:val="o"/>
      <w:lvlJc w:val="left"/>
      <w:pPr>
        <w:ind w:left="3828" w:hanging="360"/>
      </w:pPr>
      <w:rPr>
        <w:rFonts w:ascii="Courier New" w:hAnsi="Courier New" w:cs="Courier New" w:hint="default"/>
      </w:rPr>
    </w:lvl>
    <w:lvl w:ilvl="5" w:tplc="14090005" w:tentative="1">
      <w:start w:val="1"/>
      <w:numFmt w:val="bullet"/>
      <w:lvlText w:val=""/>
      <w:lvlJc w:val="left"/>
      <w:pPr>
        <w:ind w:left="4548" w:hanging="360"/>
      </w:pPr>
      <w:rPr>
        <w:rFonts w:ascii="Wingdings" w:hAnsi="Wingdings" w:hint="default"/>
      </w:rPr>
    </w:lvl>
    <w:lvl w:ilvl="6" w:tplc="14090001" w:tentative="1">
      <w:start w:val="1"/>
      <w:numFmt w:val="bullet"/>
      <w:lvlText w:val=""/>
      <w:lvlJc w:val="left"/>
      <w:pPr>
        <w:ind w:left="5268" w:hanging="360"/>
      </w:pPr>
      <w:rPr>
        <w:rFonts w:ascii="Symbol" w:hAnsi="Symbol" w:hint="default"/>
      </w:rPr>
    </w:lvl>
    <w:lvl w:ilvl="7" w:tplc="14090003" w:tentative="1">
      <w:start w:val="1"/>
      <w:numFmt w:val="bullet"/>
      <w:lvlText w:val="o"/>
      <w:lvlJc w:val="left"/>
      <w:pPr>
        <w:ind w:left="5988" w:hanging="360"/>
      </w:pPr>
      <w:rPr>
        <w:rFonts w:ascii="Courier New" w:hAnsi="Courier New" w:cs="Courier New" w:hint="default"/>
      </w:rPr>
    </w:lvl>
    <w:lvl w:ilvl="8" w:tplc="14090005" w:tentative="1">
      <w:start w:val="1"/>
      <w:numFmt w:val="bullet"/>
      <w:lvlText w:val=""/>
      <w:lvlJc w:val="left"/>
      <w:pPr>
        <w:ind w:left="6708" w:hanging="360"/>
      </w:pPr>
      <w:rPr>
        <w:rFonts w:ascii="Wingdings" w:hAnsi="Wingdings" w:hint="default"/>
      </w:rPr>
    </w:lvl>
  </w:abstractNum>
  <w:abstractNum w:abstractNumId="16" w15:restartNumberingAfterBreak="0">
    <w:nsid w:val="7132621F"/>
    <w:multiLevelType w:val="hybridMultilevel"/>
    <w:tmpl w:val="0B922CA0"/>
    <w:lvl w:ilvl="0" w:tplc="52FABFEC">
      <w:start w:val="1"/>
      <w:numFmt w:val="bullet"/>
      <w:lvlText w:val=""/>
      <w:lvlJc w:val="left"/>
      <w:pPr>
        <w:ind w:left="477" w:hanging="358"/>
      </w:pPr>
      <w:rPr>
        <w:rFonts w:ascii="Symbol" w:eastAsia="Symbol" w:hAnsi="Symbol" w:hint="default"/>
        <w:w w:val="100"/>
        <w:sz w:val="20"/>
        <w:szCs w:val="20"/>
      </w:rPr>
    </w:lvl>
    <w:lvl w:ilvl="1" w:tplc="32F8D1E8">
      <w:start w:val="1"/>
      <w:numFmt w:val="bullet"/>
      <w:lvlText w:val=""/>
      <w:lvlJc w:val="left"/>
      <w:pPr>
        <w:ind w:left="547" w:hanging="358"/>
      </w:pPr>
      <w:rPr>
        <w:rFonts w:ascii="Symbol" w:eastAsia="Symbol" w:hAnsi="Symbol" w:hint="default"/>
        <w:w w:val="100"/>
        <w:sz w:val="20"/>
        <w:szCs w:val="20"/>
      </w:rPr>
    </w:lvl>
    <w:lvl w:ilvl="2" w:tplc="5B80D0C8">
      <w:start w:val="1"/>
      <w:numFmt w:val="bullet"/>
      <w:lvlText w:val=""/>
      <w:lvlJc w:val="left"/>
      <w:pPr>
        <w:ind w:left="3422" w:hanging="361"/>
      </w:pPr>
      <w:rPr>
        <w:rFonts w:ascii="Symbol" w:eastAsia="Symbol" w:hAnsi="Symbol" w:hint="default"/>
        <w:w w:val="100"/>
        <w:sz w:val="20"/>
        <w:szCs w:val="20"/>
      </w:rPr>
    </w:lvl>
    <w:lvl w:ilvl="3" w:tplc="225C709E">
      <w:start w:val="1"/>
      <w:numFmt w:val="bullet"/>
      <w:lvlText w:val="•"/>
      <w:lvlJc w:val="left"/>
      <w:pPr>
        <w:ind w:left="3623" w:hanging="361"/>
      </w:pPr>
      <w:rPr>
        <w:rFonts w:hint="default"/>
      </w:rPr>
    </w:lvl>
    <w:lvl w:ilvl="4" w:tplc="FD487492">
      <w:start w:val="1"/>
      <w:numFmt w:val="bullet"/>
      <w:lvlText w:val="•"/>
      <w:lvlJc w:val="left"/>
      <w:pPr>
        <w:ind w:left="3826" w:hanging="361"/>
      </w:pPr>
      <w:rPr>
        <w:rFonts w:hint="default"/>
      </w:rPr>
    </w:lvl>
    <w:lvl w:ilvl="5" w:tplc="9B36E016">
      <w:start w:val="1"/>
      <w:numFmt w:val="bullet"/>
      <w:lvlText w:val="•"/>
      <w:lvlJc w:val="left"/>
      <w:pPr>
        <w:ind w:left="4029" w:hanging="361"/>
      </w:pPr>
      <w:rPr>
        <w:rFonts w:hint="default"/>
      </w:rPr>
    </w:lvl>
    <w:lvl w:ilvl="6" w:tplc="31561BDC">
      <w:start w:val="1"/>
      <w:numFmt w:val="bullet"/>
      <w:lvlText w:val="•"/>
      <w:lvlJc w:val="left"/>
      <w:pPr>
        <w:ind w:left="4232" w:hanging="361"/>
      </w:pPr>
      <w:rPr>
        <w:rFonts w:hint="default"/>
      </w:rPr>
    </w:lvl>
    <w:lvl w:ilvl="7" w:tplc="4134D862">
      <w:start w:val="1"/>
      <w:numFmt w:val="bullet"/>
      <w:lvlText w:val="•"/>
      <w:lvlJc w:val="left"/>
      <w:pPr>
        <w:ind w:left="4435" w:hanging="361"/>
      </w:pPr>
      <w:rPr>
        <w:rFonts w:hint="default"/>
      </w:rPr>
    </w:lvl>
    <w:lvl w:ilvl="8" w:tplc="A3C0A1F0">
      <w:start w:val="1"/>
      <w:numFmt w:val="bullet"/>
      <w:lvlText w:val="•"/>
      <w:lvlJc w:val="left"/>
      <w:pPr>
        <w:ind w:left="4638" w:hanging="361"/>
      </w:pPr>
      <w:rPr>
        <w:rFonts w:hint="default"/>
      </w:rPr>
    </w:lvl>
  </w:abstractNum>
  <w:abstractNum w:abstractNumId="17" w15:restartNumberingAfterBreak="0">
    <w:nsid w:val="790B6DEB"/>
    <w:multiLevelType w:val="hybridMultilevel"/>
    <w:tmpl w:val="5966220A"/>
    <w:lvl w:ilvl="0" w:tplc="365A7ABE">
      <w:start w:val="1"/>
      <w:numFmt w:val="bullet"/>
      <w:lvlText w:val=""/>
      <w:lvlJc w:val="left"/>
      <w:pPr>
        <w:ind w:left="515" w:hanging="281"/>
      </w:pPr>
      <w:rPr>
        <w:rFonts w:ascii="Symbol" w:eastAsia="Symbol" w:hAnsi="Symbol" w:hint="default"/>
        <w:w w:val="100"/>
        <w:sz w:val="22"/>
        <w:szCs w:val="22"/>
      </w:rPr>
    </w:lvl>
    <w:lvl w:ilvl="1" w:tplc="49F4A08E">
      <w:start w:val="1"/>
      <w:numFmt w:val="bullet"/>
      <w:lvlText w:val="•"/>
      <w:lvlJc w:val="left"/>
      <w:pPr>
        <w:ind w:left="1083" w:hanging="281"/>
      </w:pPr>
      <w:rPr>
        <w:rFonts w:hint="default"/>
      </w:rPr>
    </w:lvl>
    <w:lvl w:ilvl="2" w:tplc="188E448C">
      <w:start w:val="1"/>
      <w:numFmt w:val="bullet"/>
      <w:lvlText w:val="•"/>
      <w:lvlJc w:val="left"/>
      <w:pPr>
        <w:ind w:left="1647" w:hanging="281"/>
      </w:pPr>
      <w:rPr>
        <w:rFonts w:hint="default"/>
      </w:rPr>
    </w:lvl>
    <w:lvl w:ilvl="3" w:tplc="2BF0FFEA">
      <w:start w:val="1"/>
      <w:numFmt w:val="bullet"/>
      <w:lvlText w:val="•"/>
      <w:lvlJc w:val="left"/>
      <w:pPr>
        <w:ind w:left="2211" w:hanging="281"/>
      </w:pPr>
      <w:rPr>
        <w:rFonts w:hint="default"/>
      </w:rPr>
    </w:lvl>
    <w:lvl w:ilvl="4" w:tplc="7C8EE514">
      <w:start w:val="1"/>
      <w:numFmt w:val="bullet"/>
      <w:lvlText w:val="•"/>
      <w:lvlJc w:val="left"/>
      <w:pPr>
        <w:ind w:left="2775" w:hanging="281"/>
      </w:pPr>
      <w:rPr>
        <w:rFonts w:hint="default"/>
      </w:rPr>
    </w:lvl>
    <w:lvl w:ilvl="5" w:tplc="E4ECBA20">
      <w:start w:val="1"/>
      <w:numFmt w:val="bullet"/>
      <w:lvlText w:val="•"/>
      <w:lvlJc w:val="left"/>
      <w:pPr>
        <w:ind w:left="3339" w:hanging="281"/>
      </w:pPr>
      <w:rPr>
        <w:rFonts w:hint="default"/>
      </w:rPr>
    </w:lvl>
    <w:lvl w:ilvl="6" w:tplc="DF9ABFEE">
      <w:start w:val="1"/>
      <w:numFmt w:val="bullet"/>
      <w:lvlText w:val="•"/>
      <w:lvlJc w:val="left"/>
      <w:pPr>
        <w:ind w:left="3903" w:hanging="281"/>
      </w:pPr>
      <w:rPr>
        <w:rFonts w:hint="default"/>
      </w:rPr>
    </w:lvl>
    <w:lvl w:ilvl="7" w:tplc="9CB2FFB2">
      <w:start w:val="1"/>
      <w:numFmt w:val="bullet"/>
      <w:lvlText w:val="•"/>
      <w:lvlJc w:val="left"/>
      <w:pPr>
        <w:ind w:left="4466" w:hanging="281"/>
      </w:pPr>
      <w:rPr>
        <w:rFonts w:hint="default"/>
      </w:rPr>
    </w:lvl>
    <w:lvl w:ilvl="8" w:tplc="078E3354">
      <w:start w:val="1"/>
      <w:numFmt w:val="bullet"/>
      <w:lvlText w:val="•"/>
      <w:lvlJc w:val="left"/>
      <w:pPr>
        <w:ind w:left="5030" w:hanging="281"/>
      </w:pPr>
      <w:rPr>
        <w:rFonts w:hint="default"/>
      </w:rPr>
    </w:lvl>
  </w:abstractNum>
  <w:abstractNum w:abstractNumId="18" w15:restartNumberingAfterBreak="0">
    <w:nsid w:val="7BC21888"/>
    <w:multiLevelType w:val="hybridMultilevel"/>
    <w:tmpl w:val="83B67C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2"/>
  </w:num>
  <w:num w:numId="4">
    <w:abstractNumId w:val="16"/>
  </w:num>
  <w:num w:numId="5">
    <w:abstractNumId w:val="15"/>
  </w:num>
  <w:num w:numId="6">
    <w:abstractNumId w:val="11"/>
  </w:num>
  <w:num w:numId="7">
    <w:abstractNumId w:val="4"/>
  </w:num>
  <w:num w:numId="8">
    <w:abstractNumId w:val="14"/>
  </w:num>
  <w:num w:numId="9">
    <w:abstractNumId w:val="1"/>
  </w:num>
  <w:num w:numId="10">
    <w:abstractNumId w:val="6"/>
  </w:num>
  <w:num w:numId="11">
    <w:abstractNumId w:val="7"/>
  </w:num>
  <w:num w:numId="12">
    <w:abstractNumId w:val="9"/>
  </w:num>
  <w:num w:numId="13">
    <w:abstractNumId w:val="0"/>
  </w:num>
  <w:num w:numId="14">
    <w:abstractNumId w:val="10"/>
  </w:num>
  <w:num w:numId="15">
    <w:abstractNumId w:val="2"/>
  </w:num>
  <w:num w:numId="16">
    <w:abstractNumId w:val="17"/>
  </w:num>
  <w:num w:numId="17">
    <w:abstractNumId w:val="5"/>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60"/>
    <w:rsid w:val="00067AD1"/>
    <w:rsid w:val="00073A5C"/>
    <w:rsid w:val="00093C0E"/>
    <w:rsid w:val="000968F9"/>
    <w:rsid w:val="000A095B"/>
    <w:rsid w:val="000B1CF3"/>
    <w:rsid w:val="000B7F49"/>
    <w:rsid w:val="000D2160"/>
    <w:rsid w:val="000F49BC"/>
    <w:rsid w:val="00106799"/>
    <w:rsid w:val="00127F88"/>
    <w:rsid w:val="00131518"/>
    <w:rsid w:val="001337AA"/>
    <w:rsid w:val="00136913"/>
    <w:rsid w:val="001543E5"/>
    <w:rsid w:val="00180448"/>
    <w:rsid w:val="001B4B10"/>
    <w:rsid w:val="001C7012"/>
    <w:rsid w:val="001D5D87"/>
    <w:rsid w:val="001E6B1E"/>
    <w:rsid w:val="001F746F"/>
    <w:rsid w:val="0023452C"/>
    <w:rsid w:val="00250E48"/>
    <w:rsid w:val="00253CC8"/>
    <w:rsid w:val="00285FC5"/>
    <w:rsid w:val="00290642"/>
    <w:rsid w:val="00293E6C"/>
    <w:rsid w:val="002B16CF"/>
    <w:rsid w:val="002D7DC0"/>
    <w:rsid w:val="00340320"/>
    <w:rsid w:val="00341BA6"/>
    <w:rsid w:val="00342B41"/>
    <w:rsid w:val="00346566"/>
    <w:rsid w:val="00380F5D"/>
    <w:rsid w:val="003A02F8"/>
    <w:rsid w:val="003B45E9"/>
    <w:rsid w:val="003D0E78"/>
    <w:rsid w:val="003E26F9"/>
    <w:rsid w:val="003F0DF4"/>
    <w:rsid w:val="00452C7D"/>
    <w:rsid w:val="004538F4"/>
    <w:rsid w:val="004664BA"/>
    <w:rsid w:val="004778EA"/>
    <w:rsid w:val="004823EA"/>
    <w:rsid w:val="004836B3"/>
    <w:rsid w:val="00492DF1"/>
    <w:rsid w:val="004B3613"/>
    <w:rsid w:val="004B3628"/>
    <w:rsid w:val="004E2116"/>
    <w:rsid w:val="0050158A"/>
    <w:rsid w:val="00515852"/>
    <w:rsid w:val="005317BD"/>
    <w:rsid w:val="00576D55"/>
    <w:rsid w:val="00597E99"/>
    <w:rsid w:val="005F1A96"/>
    <w:rsid w:val="00615BFC"/>
    <w:rsid w:val="00625C06"/>
    <w:rsid w:val="00635EBD"/>
    <w:rsid w:val="006450D4"/>
    <w:rsid w:val="00652037"/>
    <w:rsid w:val="00686769"/>
    <w:rsid w:val="006B05F8"/>
    <w:rsid w:val="006D4FB8"/>
    <w:rsid w:val="006E581E"/>
    <w:rsid w:val="006E7169"/>
    <w:rsid w:val="006F6F81"/>
    <w:rsid w:val="00716181"/>
    <w:rsid w:val="00736630"/>
    <w:rsid w:val="0074506D"/>
    <w:rsid w:val="00760197"/>
    <w:rsid w:val="007766BC"/>
    <w:rsid w:val="00782A7F"/>
    <w:rsid w:val="00782EBF"/>
    <w:rsid w:val="007843E7"/>
    <w:rsid w:val="007A2D8E"/>
    <w:rsid w:val="007D193F"/>
    <w:rsid w:val="007F2452"/>
    <w:rsid w:val="00806356"/>
    <w:rsid w:val="008365CF"/>
    <w:rsid w:val="00862E0E"/>
    <w:rsid w:val="00864669"/>
    <w:rsid w:val="008D7260"/>
    <w:rsid w:val="00907515"/>
    <w:rsid w:val="009852C3"/>
    <w:rsid w:val="009B4016"/>
    <w:rsid w:val="00A04C1A"/>
    <w:rsid w:val="00A17785"/>
    <w:rsid w:val="00A2574E"/>
    <w:rsid w:val="00A362D3"/>
    <w:rsid w:val="00A43F2F"/>
    <w:rsid w:val="00A853C3"/>
    <w:rsid w:val="00A9222F"/>
    <w:rsid w:val="00AE2181"/>
    <w:rsid w:val="00AF3C0B"/>
    <w:rsid w:val="00B33291"/>
    <w:rsid w:val="00B40C7B"/>
    <w:rsid w:val="00B45467"/>
    <w:rsid w:val="00B679FA"/>
    <w:rsid w:val="00B83EC6"/>
    <w:rsid w:val="00BA39CF"/>
    <w:rsid w:val="00BE3953"/>
    <w:rsid w:val="00BF37CF"/>
    <w:rsid w:val="00C20F19"/>
    <w:rsid w:val="00C54D01"/>
    <w:rsid w:val="00C551BE"/>
    <w:rsid w:val="00C95D08"/>
    <w:rsid w:val="00CC2C78"/>
    <w:rsid w:val="00CE3CE3"/>
    <w:rsid w:val="00CE519F"/>
    <w:rsid w:val="00CE65A9"/>
    <w:rsid w:val="00CF1A9F"/>
    <w:rsid w:val="00CF5A74"/>
    <w:rsid w:val="00D3249D"/>
    <w:rsid w:val="00D35881"/>
    <w:rsid w:val="00D41316"/>
    <w:rsid w:val="00D458C4"/>
    <w:rsid w:val="00D73745"/>
    <w:rsid w:val="00D823E0"/>
    <w:rsid w:val="00DC569E"/>
    <w:rsid w:val="00DE0BA4"/>
    <w:rsid w:val="00DF18C7"/>
    <w:rsid w:val="00E00861"/>
    <w:rsid w:val="00E214F7"/>
    <w:rsid w:val="00E432F4"/>
    <w:rsid w:val="00E470A3"/>
    <w:rsid w:val="00E521F4"/>
    <w:rsid w:val="00E96E0B"/>
    <w:rsid w:val="00E97453"/>
    <w:rsid w:val="00EB364B"/>
    <w:rsid w:val="00EC183E"/>
    <w:rsid w:val="00F23042"/>
    <w:rsid w:val="00F2762F"/>
    <w:rsid w:val="00F40B03"/>
    <w:rsid w:val="00F57644"/>
    <w:rsid w:val="00F723F3"/>
    <w:rsid w:val="00F72FE0"/>
    <w:rsid w:val="00F833BC"/>
    <w:rsid w:val="00F84237"/>
    <w:rsid w:val="00F96D85"/>
    <w:rsid w:val="00FE6801"/>
    <w:rsid w:val="00FF1AA6"/>
    <w:rsid w:val="00FF4C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A8BB6"/>
  <w15:docId w15:val="{C4B07084-A7CD-4DE0-8209-A63B92E5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2160"/>
    <w:pPr>
      <w:widowControl w:val="0"/>
      <w:spacing w:after="0" w:line="240" w:lineRule="auto"/>
      <w:ind w:left="228" w:hanging="360"/>
    </w:pPr>
    <w:rPr>
      <w:rFonts w:ascii="Arial" w:eastAsia="Arial" w:hAnsi="Arial"/>
      <w:sz w:val="20"/>
      <w:szCs w:val="20"/>
      <w:lang w:val="en-US"/>
    </w:rPr>
  </w:style>
  <w:style w:type="character" w:customStyle="1" w:styleId="BodyTextChar">
    <w:name w:val="Body Text Char"/>
    <w:basedOn w:val="DefaultParagraphFont"/>
    <w:link w:val="BodyText"/>
    <w:uiPriority w:val="1"/>
    <w:rsid w:val="000D2160"/>
    <w:rPr>
      <w:rFonts w:ascii="Arial" w:eastAsia="Arial" w:hAnsi="Arial"/>
      <w:sz w:val="20"/>
      <w:szCs w:val="20"/>
      <w:lang w:val="en-US"/>
    </w:rPr>
  </w:style>
  <w:style w:type="paragraph" w:styleId="ListParagraph">
    <w:name w:val="List Paragraph"/>
    <w:basedOn w:val="Normal"/>
    <w:uiPriority w:val="34"/>
    <w:qFormat/>
    <w:rsid w:val="00F96D85"/>
    <w:pPr>
      <w:ind w:left="720"/>
      <w:contextualSpacing/>
    </w:pPr>
  </w:style>
  <w:style w:type="paragraph" w:styleId="Header">
    <w:name w:val="header"/>
    <w:basedOn w:val="Normal"/>
    <w:link w:val="HeaderChar"/>
    <w:uiPriority w:val="99"/>
    <w:unhideWhenUsed/>
    <w:rsid w:val="00BF3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CF"/>
  </w:style>
  <w:style w:type="paragraph" w:styleId="Footer">
    <w:name w:val="footer"/>
    <w:basedOn w:val="Normal"/>
    <w:link w:val="FooterChar"/>
    <w:uiPriority w:val="99"/>
    <w:unhideWhenUsed/>
    <w:rsid w:val="00BF3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CF"/>
  </w:style>
  <w:style w:type="paragraph" w:styleId="BalloonText">
    <w:name w:val="Balloon Text"/>
    <w:basedOn w:val="Normal"/>
    <w:link w:val="BalloonTextChar"/>
    <w:uiPriority w:val="99"/>
    <w:semiHidden/>
    <w:unhideWhenUsed/>
    <w:rsid w:val="007F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52"/>
    <w:rPr>
      <w:rFonts w:ascii="Tahoma" w:hAnsi="Tahoma" w:cs="Tahoma"/>
      <w:sz w:val="16"/>
      <w:szCs w:val="16"/>
    </w:rPr>
  </w:style>
  <w:style w:type="paragraph" w:customStyle="1" w:styleId="TableParagraph">
    <w:name w:val="Table Paragraph"/>
    <w:basedOn w:val="Normal"/>
    <w:uiPriority w:val="1"/>
    <w:qFormat/>
    <w:rsid w:val="00A43F2F"/>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049996">
      <w:bodyDiv w:val="1"/>
      <w:marLeft w:val="0"/>
      <w:marRight w:val="0"/>
      <w:marTop w:val="0"/>
      <w:marBottom w:val="0"/>
      <w:divBdr>
        <w:top w:val="none" w:sz="0" w:space="0" w:color="auto"/>
        <w:left w:val="none" w:sz="0" w:space="0" w:color="auto"/>
        <w:bottom w:val="none" w:sz="0" w:space="0" w:color="auto"/>
        <w:right w:val="none" w:sz="0" w:space="0" w:color="auto"/>
      </w:divBdr>
    </w:div>
    <w:div w:id="19804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C6A6289D8FEB4EA0EEAED9095451F1" ma:contentTypeVersion="10" ma:contentTypeDescription="Create a new document." ma:contentTypeScope="" ma:versionID="0eb97c0de1d7374899e972854eb808e9">
  <xsd:schema xmlns:xsd="http://www.w3.org/2001/XMLSchema" xmlns:xs="http://www.w3.org/2001/XMLSchema" xmlns:p="http://schemas.microsoft.com/office/2006/metadata/properties" xmlns:ns3="d298a718-2a9b-46b2-b9e6-2016f88a4bf9" xmlns:ns4="fdd0102a-73d3-424b-8b88-753d96f0a077" targetNamespace="http://schemas.microsoft.com/office/2006/metadata/properties" ma:root="true" ma:fieldsID="5ea19586185b43b8ea1c8e64643fd333" ns3:_="" ns4:_="">
    <xsd:import namespace="d298a718-2a9b-46b2-b9e6-2016f88a4bf9"/>
    <xsd:import namespace="fdd0102a-73d3-424b-8b88-753d96f0a0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8a718-2a9b-46b2-b9e6-2016f88a4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0102a-73d3-424b-8b88-753d96f0a0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0748C-1685-486A-A538-112F3D6C9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F7209-0088-4E47-9CF6-B10F6290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8a718-2a9b-46b2-b9e6-2016f88a4bf9"/>
    <ds:schemaRef ds:uri="fdd0102a-73d3-424b-8b88-753d96f0a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9F78A-0238-4F84-BD7E-6180A4008FB5}">
  <ds:schemaRefs>
    <ds:schemaRef ds:uri="http://schemas.microsoft.com/sharepoint/v3/contenttype/forms"/>
  </ds:schemaRefs>
</ds:datastoreItem>
</file>

<file path=customXml/itemProps4.xml><?xml version="1.0" encoding="utf-8"?>
<ds:datastoreItem xmlns:ds="http://schemas.openxmlformats.org/officeDocument/2006/customXml" ds:itemID="{5BEC1BB1-258F-4013-8196-FCF34A84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Vena</dc:creator>
  <cp:keywords/>
  <dc:description/>
  <cp:lastModifiedBy>Tracy Hall</cp:lastModifiedBy>
  <cp:revision>2</cp:revision>
  <cp:lastPrinted>2016-08-12T04:23:00Z</cp:lastPrinted>
  <dcterms:created xsi:type="dcterms:W3CDTF">2019-12-12T20:44:00Z</dcterms:created>
  <dcterms:modified xsi:type="dcterms:W3CDTF">2019-12-12T20:44:00Z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0x010100D7C6A6289D8FEB4EA0EEAED9095451F1</vt:lpwstr>
  </property>
  <property fmtid="{D5CDD505-2E9C-101B-9397-08002B2CF9AE}" pid="3" name="_ModerationStatus">
    <vt:lpwstr>0</vt:lpwstr>
  </property>
  <property fmtid="{D5CDD505-2E9C-101B-9397-08002B2CF9AE}" pid="4" name="Order">
    <vt:r8>76400</vt:r8>
  </property>
</Properties>
</file>