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DE7C0" w14:textId="17F06464" w:rsidR="001E4CD4" w:rsidRPr="008908E0" w:rsidRDefault="00F42526" w:rsidP="00D0125B">
      <w:pPr>
        <w:ind w:left="0"/>
        <w:jc w:val="center"/>
        <w:rPr>
          <w:lang w:val="en-NZ"/>
        </w:rPr>
      </w:pPr>
      <w:r>
        <w:rPr>
          <w:noProof/>
          <w:lang w:val="en-NZ"/>
        </w:rPr>
        <w:drawing>
          <wp:inline distT="0" distB="0" distL="0" distR="0" wp14:anchorId="5448D329" wp14:editId="69B51EDB">
            <wp:extent cx="3598091" cy="581025"/>
            <wp:effectExtent l="0" t="0" r="2540" b="0"/>
            <wp:docPr id="168931420" name="Picture 2">
              <a:extLst xmlns:a="http://schemas.openxmlformats.org/drawingml/2006/main">
                <a:ext uri="{FF2B5EF4-FFF2-40B4-BE49-F238E27FC236}">
                  <a16:creationId xmlns:a16="http://schemas.microsoft.com/office/drawing/2014/main" id="{447100F3-944A-4413-BC7D-E4BCDD46AA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5798" cy="582270"/>
                    </a:xfrm>
                    <a:prstGeom prst="rect">
                      <a:avLst/>
                    </a:prstGeom>
                    <a:noFill/>
                  </pic:spPr>
                </pic:pic>
              </a:graphicData>
            </a:graphic>
          </wp:inline>
        </w:drawing>
      </w:r>
    </w:p>
    <w:p w14:paraId="5B905B75" w14:textId="77777777" w:rsidR="001E4CD4" w:rsidRPr="008908E0" w:rsidRDefault="001E4CD4" w:rsidP="001E4CD4">
      <w:pPr>
        <w:ind w:left="0"/>
        <w:jc w:val="center"/>
        <w:rPr>
          <w:b/>
          <w:sz w:val="28"/>
          <w:lang w:val="en-NZ"/>
        </w:rPr>
      </w:pPr>
    </w:p>
    <w:p w14:paraId="4C1185DF" w14:textId="77777777" w:rsidR="001E4CD4" w:rsidRPr="008908E0" w:rsidRDefault="001E4CD4" w:rsidP="001E4CD4">
      <w:pPr>
        <w:ind w:left="0"/>
        <w:jc w:val="center"/>
        <w:rPr>
          <w:b/>
          <w:sz w:val="32"/>
          <w:lang w:val="en-NZ"/>
        </w:rPr>
      </w:pPr>
      <w:r w:rsidRPr="008908E0">
        <w:rPr>
          <w:b/>
          <w:sz w:val="32"/>
          <w:lang w:val="en-NZ"/>
        </w:rPr>
        <w:t>POSITION DESCRIPTION</w:t>
      </w:r>
    </w:p>
    <w:p w14:paraId="5749AB34" w14:textId="77777777" w:rsidR="001E4CD4" w:rsidRPr="008908E0" w:rsidRDefault="001E4CD4" w:rsidP="001E4CD4">
      <w:pPr>
        <w:ind w:left="0"/>
        <w:jc w:val="center"/>
        <w:rPr>
          <w:b/>
          <w:sz w:val="32"/>
          <w:lang w:val="en-NZ"/>
        </w:rPr>
      </w:pPr>
    </w:p>
    <w:tbl>
      <w:tblPr>
        <w:tblStyle w:val="TableGrid"/>
        <w:tblW w:w="5000" w:type="pct"/>
        <w:tblLook w:val="04A0" w:firstRow="1" w:lastRow="0" w:firstColumn="1" w:lastColumn="0" w:noHBand="0" w:noVBand="1"/>
      </w:tblPr>
      <w:tblGrid>
        <w:gridCol w:w="2121"/>
        <w:gridCol w:w="6905"/>
      </w:tblGrid>
      <w:tr w:rsidR="001E4CD4" w:rsidRPr="008908E0" w14:paraId="064709E1" w14:textId="77777777" w:rsidTr="001E4CD4">
        <w:trPr>
          <w:trHeight w:val="444"/>
        </w:trPr>
        <w:tc>
          <w:tcPr>
            <w:tcW w:w="5000" w:type="pct"/>
            <w:gridSpan w:val="2"/>
            <w:tcBorders>
              <w:top w:val="single" w:sz="4" w:space="0" w:color="auto"/>
              <w:left w:val="nil"/>
              <w:bottom w:val="single" w:sz="4" w:space="0" w:color="auto"/>
              <w:right w:val="nil"/>
            </w:tcBorders>
            <w:shd w:val="clear" w:color="auto" w:fill="F2F2F2" w:themeFill="background1" w:themeFillShade="F2"/>
            <w:vAlign w:val="center"/>
            <w:hideMark/>
          </w:tcPr>
          <w:p w14:paraId="4039D902" w14:textId="77777777" w:rsidR="001E4CD4" w:rsidRPr="008908E0" w:rsidRDefault="001E4CD4" w:rsidP="001E4CD4">
            <w:pPr>
              <w:spacing w:before="60" w:after="60"/>
              <w:ind w:left="0"/>
              <w:rPr>
                <w:b/>
                <w:lang w:val="en-NZ"/>
              </w:rPr>
            </w:pPr>
            <w:r w:rsidRPr="008908E0">
              <w:rPr>
                <w:b/>
                <w:sz w:val="20"/>
                <w:lang w:val="en-NZ"/>
              </w:rPr>
              <w:t>Position Details</w:t>
            </w:r>
          </w:p>
        </w:tc>
      </w:tr>
      <w:tr w:rsidR="00F1159F" w:rsidRPr="008908E0" w14:paraId="048C442A" w14:textId="77777777" w:rsidTr="001E4CD4">
        <w:trPr>
          <w:trHeight w:val="340"/>
        </w:trPr>
        <w:tc>
          <w:tcPr>
            <w:tcW w:w="1175" w:type="pct"/>
            <w:tcBorders>
              <w:top w:val="single" w:sz="4" w:space="0" w:color="auto"/>
              <w:left w:val="nil"/>
              <w:bottom w:val="single" w:sz="4" w:space="0" w:color="auto"/>
              <w:right w:val="nil"/>
            </w:tcBorders>
            <w:vAlign w:val="center"/>
            <w:hideMark/>
          </w:tcPr>
          <w:p w14:paraId="6E52C2A5" w14:textId="77777777" w:rsidR="00F1159F" w:rsidRPr="008908E0" w:rsidRDefault="00F1159F" w:rsidP="00F1159F">
            <w:pPr>
              <w:spacing w:before="60" w:after="60"/>
              <w:ind w:left="0"/>
              <w:rPr>
                <w:sz w:val="20"/>
                <w:lang w:val="en-NZ"/>
              </w:rPr>
            </w:pPr>
            <w:r w:rsidRPr="008908E0">
              <w:rPr>
                <w:sz w:val="20"/>
                <w:lang w:val="en-NZ"/>
              </w:rPr>
              <w:t>Position Title</w:t>
            </w:r>
          </w:p>
        </w:tc>
        <w:tc>
          <w:tcPr>
            <w:tcW w:w="3825" w:type="pct"/>
            <w:tcBorders>
              <w:top w:val="single" w:sz="4" w:space="0" w:color="auto"/>
              <w:left w:val="nil"/>
              <w:bottom w:val="single" w:sz="4" w:space="0" w:color="auto"/>
              <w:right w:val="nil"/>
            </w:tcBorders>
            <w:vAlign w:val="center"/>
            <w:hideMark/>
          </w:tcPr>
          <w:p w14:paraId="78021FD6" w14:textId="1113E4AE" w:rsidR="00F1159F" w:rsidRPr="008908E0" w:rsidRDefault="00F1159F" w:rsidP="00F1159F">
            <w:pPr>
              <w:spacing w:before="60" w:after="60"/>
              <w:ind w:left="0"/>
              <w:rPr>
                <w:sz w:val="20"/>
                <w:lang w:val="en-NZ"/>
              </w:rPr>
            </w:pPr>
            <w:r w:rsidRPr="002A3E04">
              <w:rPr>
                <w:noProof/>
                <w:sz w:val="20"/>
                <w:lang w:val="en-NZ"/>
              </w:rPr>
              <w:t>Head of School</w:t>
            </w:r>
          </w:p>
        </w:tc>
      </w:tr>
      <w:tr w:rsidR="00F1159F" w:rsidRPr="008908E0" w14:paraId="763E30CB" w14:textId="77777777" w:rsidTr="001E4CD4">
        <w:trPr>
          <w:trHeight w:val="340"/>
        </w:trPr>
        <w:tc>
          <w:tcPr>
            <w:tcW w:w="1175" w:type="pct"/>
            <w:tcBorders>
              <w:top w:val="single" w:sz="4" w:space="0" w:color="auto"/>
              <w:left w:val="nil"/>
              <w:bottom w:val="single" w:sz="4" w:space="0" w:color="auto"/>
              <w:right w:val="nil"/>
            </w:tcBorders>
            <w:vAlign w:val="center"/>
            <w:hideMark/>
          </w:tcPr>
          <w:p w14:paraId="141FB6A2" w14:textId="77777777" w:rsidR="00F1159F" w:rsidRPr="008908E0" w:rsidRDefault="00F1159F" w:rsidP="00F1159F">
            <w:pPr>
              <w:spacing w:before="60" w:after="60"/>
              <w:ind w:left="0"/>
              <w:rPr>
                <w:sz w:val="20"/>
                <w:lang w:val="en-NZ"/>
              </w:rPr>
            </w:pPr>
            <w:r w:rsidRPr="008908E0">
              <w:rPr>
                <w:sz w:val="20"/>
                <w:lang w:val="en-NZ"/>
              </w:rPr>
              <w:t xml:space="preserve">Business Area </w:t>
            </w:r>
          </w:p>
        </w:tc>
        <w:tc>
          <w:tcPr>
            <w:tcW w:w="3825" w:type="pct"/>
            <w:tcBorders>
              <w:top w:val="single" w:sz="4" w:space="0" w:color="auto"/>
              <w:left w:val="nil"/>
              <w:bottom w:val="single" w:sz="4" w:space="0" w:color="auto"/>
              <w:right w:val="nil"/>
            </w:tcBorders>
            <w:vAlign w:val="center"/>
            <w:hideMark/>
          </w:tcPr>
          <w:p w14:paraId="1FAE213F" w14:textId="27AAC268" w:rsidR="00F1159F" w:rsidRPr="008908E0" w:rsidRDefault="00B36564" w:rsidP="00F1159F">
            <w:pPr>
              <w:spacing w:before="60" w:after="60"/>
              <w:ind w:left="0"/>
              <w:rPr>
                <w:sz w:val="20"/>
                <w:lang w:val="en-NZ"/>
              </w:rPr>
            </w:pPr>
            <w:r>
              <w:rPr>
                <w:sz w:val="20"/>
                <w:lang w:val="en-NZ"/>
              </w:rPr>
              <w:t>Construction, Electrical, Plumbing &amp; Automotive Trades</w:t>
            </w:r>
          </w:p>
        </w:tc>
      </w:tr>
      <w:tr w:rsidR="00F1159F" w:rsidRPr="008908E0" w14:paraId="32841430" w14:textId="77777777" w:rsidTr="001E4CD4">
        <w:trPr>
          <w:trHeight w:val="340"/>
        </w:trPr>
        <w:tc>
          <w:tcPr>
            <w:tcW w:w="1175" w:type="pct"/>
            <w:tcBorders>
              <w:top w:val="single" w:sz="4" w:space="0" w:color="auto"/>
              <w:left w:val="nil"/>
              <w:bottom w:val="single" w:sz="4" w:space="0" w:color="auto"/>
              <w:right w:val="nil"/>
            </w:tcBorders>
            <w:vAlign w:val="center"/>
            <w:hideMark/>
          </w:tcPr>
          <w:p w14:paraId="4AE2E3D1" w14:textId="77777777" w:rsidR="00F1159F" w:rsidRPr="008908E0" w:rsidRDefault="00F1159F" w:rsidP="00F1159F">
            <w:pPr>
              <w:spacing w:before="60" w:after="60"/>
              <w:ind w:left="0"/>
              <w:rPr>
                <w:sz w:val="20"/>
                <w:lang w:val="en-NZ"/>
              </w:rPr>
            </w:pPr>
            <w:r w:rsidRPr="008908E0">
              <w:rPr>
                <w:sz w:val="20"/>
                <w:lang w:val="en-NZ"/>
              </w:rPr>
              <w:t>Reports to</w:t>
            </w:r>
          </w:p>
        </w:tc>
        <w:tc>
          <w:tcPr>
            <w:tcW w:w="3825" w:type="pct"/>
            <w:tcBorders>
              <w:top w:val="single" w:sz="4" w:space="0" w:color="auto"/>
              <w:left w:val="nil"/>
              <w:bottom w:val="single" w:sz="4" w:space="0" w:color="auto"/>
              <w:right w:val="nil"/>
            </w:tcBorders>
            <w:vAlign w:val="center"/>
            <w:hideMark/>
          </w:tcPr>
          <w:p w14:paraId="7D4A9D5E" w14:textId="4787A5BA" w:rsidR="00F1159F" w:rsidRPr="008908E0" w:rsidRDefault="00B36564" w:rsidP="00F1159F">
            <w:pPr>
              <w:spacing w:before="60" w:after="60"/>
              <w:ind w:left="0"/>
              <w:rPr>
                <w:sz w:val="20"/>
                <w:lang w:val="en-NZ"/>
              </w:rPr>
            </w:pPr>
            <w:r>
              <w:rPr>
                <w:noProof/>
                <w:sz w:val="20"/>
                <w:lang w:val="en-NZ"/>
              </w:rPr>
              <w:t xml:space="preserve">Director, Teaching </w:t>
            </w:r>
            <w:r w:rsidR="006D7BE5">
              <w:rPr>
                <w:noProof/>
                <w:sz w:val="20"/>
                <w:lang w:val="en-NZ"/>
              </w:rPr>
              <w:t>and</w:t>
            </w:r>
            <w:r>
              <w:rPr>
                <w:noProof/>
                <w:sz w:val="20"/>
                <w:lang w:val="en-NZ"/>
              </w:rPr>
              <w:t xml:space="preserve"> Learning</w:t>
            </w:r>
          </w:p>
        </w:tc>
      </w:tr>
      <w:tr w:rsidR="00F1159F" w:rsidRPr="008908E0" w14:paraId="0B904DEE" w14:textId="77777777" w:rsidTr="001E4CD4">
        <w:trPr>
          <w:trHeight w:val="340"/>
        </w:trPr>
        <w:tc>
          <w:tcPr>
            <w:tcW w:w="1175" w:type="pct"/>
            <w:tcBorders>
              <w:top w:val="single" w:sz="4" w:space="0" w:color="auto"/>
              <w:left w:val="nil"/>
              <w:bottom w:val="single" w:sz="4" w:space="0" w:color="auto"/>
              <w:right w:val="nil"/>
            </w:tcBorders>
            <w:vAlign w:val="center"/>
            <w:hideMark/>
          </w:tcPr>
          <w:p w14:paraId="100744CA" w14:textId="77777777" w:rsidR="00F1159F" w:rsidRPr="008908E0" w:rsidRDefault="00F1159F" w:rsidP="00F1159F">
            <w:pPr>
              <w:spacing w:before="60" w:after="60"/>
              <w:ind w:left="0"/>
              <w:rPr>
                <w:sz w:val="20"/>
                <w:lang w:val="en-NZ"/>
              </w:rPr>
            </w:pPr>
            <w:r w:rsidRPr="008908E0">
              <w:rPr>
                <w:sz w:val="20"/>
                <w:lang w:val="en-NZ"/>
              </w:rPr>
              <w:t>Location</w:t>
            </w:r>
          </w:p>
        </w:tc>
        <w:tc>
          <w:tcPr>
            <w:tcW w:w="3825" w:type="pct"/>
            <w:tcBorders>
              <w:top w:val="single" w:sz="4" w:space="0" w:color="auto"/>
              <w:left w:val="nil"/>
              <w:bottom w:val="single" w:sz="4" w:space="0" w:color="auto"/>
              <w:right w:val="nil"/>
            </w:tcBorders>
            <w:vAlign w:val="center"/>
            <w:hideMark/>
          </w:tcPr>
          <w:p w14:paraId="01E6BA93" w14:textId="00EBE064" w:rsidR="00F1159F" w:rsidRPr="008908E0" w:rsidRDefault="00B36564" w:rsidP="00F1159F">
            <w:pPr>
              <w:spacing w:before="60" w:after="60"/>
              <w:ind w:left="0"/>
              <w:rPr>
                <w:sz w:val="20"/>
                <w:lang w:val="en-NZ"/>
              </w:rPr>
            </w:pPr>
            <w:r>
              <w:rPr>
                <w:noProof/>
                <w:sz w:val="20"/>
                <w:lang w:val="en-NZ"/>
              </w:rPr>
              <w:t>Multi-site – Wellington region</w:t>
            </w:r>
          </w:p>
        </w:tc>
      </w:tr>
    </w:tbl>
    <w:p w14:paraId="3A0A639A" w14:textId="77777777" w:rsidR="001E4CD4" w:rsidRPr="008908E0" w:rsidRDefault="001E4CD4" w:rsidP="001E4CD4">
      <w:pPr>
        <w:ind w:left="0"/>
        <w:rPr>
          <w:sz w:val="20"/>
          <w:lang w:val="en-NZ"/>
        </w:rPr>
      </w:pPr>
    </w:p>
    <w:p w14:paraId="3B9BE7FF" w14:textId="77777777" w:rsidR="001E4CD4" w:rsidRPr="008908E0" w:rsidRDefault="001E4CD4" w:rsidP="001E4CD4">
      <w:pPr>
        <w:ind w:left="0"/>
        <w:rPr>
          <w:sz w:val="20"/>
          <w:lang w:val="en-NZ"/>
        </w:rPr>
      </w:pPr>
    </w:p>
    <w:tbl>
      <w:tblPr>
        <w:tblStyle w:val="TableGrid"/>
        <w:tblW w:w="5000" w:type="pct"/>
        <w:tblLook w:val="04A0" w:firstRow="1" w:lastRow="0" w:firstColumn="1" w:lastColumn="0" w:noHBand="0" w:noVBand="1"/>
      </w:tblPr>
      <w:tblGrid>
        <w:gridCol w:w="9026"/>
      </w:tblGrid>
      <w:tr w:rsidR="001E4CD4" w:rsidRPr="008908E0" w14:paraId="52247BCD" w14:textId="77777777" w:rsidTr="001E4CD4">
        <w:trPr>
          <w:trHeight w:val="442"/>
        </w:trPr>
        <w:tc>
          <w:tcPr>
            <w:tcW w:w="5000" w:type="pct"/>
            <w:tcBorders>
              <w:top w:val="single" w:sz="4" w:space="0" w:color="auto"/>
              <w:left w:val="nil"/>
              <w:bottom w:val="single" w:sz="4" w:space="0" w:color="auto"/>
              <w:right w:val="nil"/>
            </w:tcBorders>
            <w:shd w:val="clear" w:color="auto" w:fill="F2F2F2" w:themeFill="background1" w:themeFillShade="F2"/>
            <w:vAlign w:val="center"/>
            <w:hideMark/>
          </w:tcPr>
          <w:p w14:paraId="6720031E" w14:textId="5CF17C59" w:rsidR="001E4CD4" w:rsidRPr="008908E0" w:rsidRDefault="001E4CD4" w:rsidP="001E4CD4">
            <w:pPr>
              <w:ind w:left="0"/>
              <w:rPr>
                <w:b/>
                <w:sz w:val="20"/>
                <w:lang w:val="en-NZ"/>
              </w:rPr>
            </w:pPr>
            <w:r w:rsidRPr="008908E0">
              <w:rPr>
                <w:b/>
                <w:sz w:val="20"/>
                <w:lang w:val="en-NZ"/>
              </w:rPr>
              <w:t>Whitireia</w:t>
            </w:r>
            <w:r w:rsidR="00514DF9">
              <w:rPr>
                <w:b/>
                <w:sz w:val="20"/>
                <w:lang w:val="en-NZ"/>
              </w:rPr>
              <w:t xml:space="preserve"> &amp; WelTec</w:t>
            </w:r>
            <w:r w:rsidRPr="008908E0">
              <w:rPr>
                <w:b/>
                <w:sz w:val="20"/>
                <w:lang w:val="en-NZ"/>
              </w:rPr>
              <w:t>: Our Purpose</w:t>
            </w:r>
          </w:p>
        </w:tc>
      </w:tr>
    </w:tbl>
    <w:p w14:paraId="5CAE4282" w14:textId="77777777" w:rsidR="001E4CD4" w:rsidRPr="008908E0" w:rsidRDefault="001E4CD4" w:rsidP="001E4CD4">
      <w:pPr>
        <w:ind w:left="0"/>
        <w:rPr>
          <w:rFonts w:eastAsia="Arial" w:cstheme="minorBidi"/>
          <w:sz w:val="20"/>
          <w:szCs w:val="20"/>
          <w:lang w:val="en-NZ"/>
        </w:rPr>
      </w:pPr>
    </w:p>
    <w:p w14:paraId="1EB0A2C6" w14:textId="77777777" w:rsidR="00722853" w:rsidRPr="008908E0" w:rsidRDefault="00722853" w:rsidP="00D51475">
      <w:pPr>
        <w:ind w:left="142"/>
        <w:rPr>
          <w:rFonts w:eastAsia="Arial"/>
          <w:sz w:val="20"/>
          <w:szCs w:val="20"/>
          <w:lang w:val="en-NZ"/>
        </w:rPr>
      </w:pPr>
      <w:r w:rsidRPr="008908E0">
        <w:rPr>
          <w:rFonts w:eastAsia="Arial"/>
          <w:sz w:val="20"/>
          <w:szCs w:val="20"/>
          <w:lang w:val="en-NZ"/>
        </w:rPr>
        <w:t xml:space="preserve">Whitireia (Te Kura </w:t>
      </w:r>
      <w:proofErr w:type="spellStart"/>
      <w:r w:rsidRPr="008908E0">
        <w:rPr>
          <w:rFonts w:eastAsia="Arial"/>
          <w:sz w:val="20"/>
          <w:szCs w:val="20"/>
          <w:lang w:val="en-NZ"/>
        </w:rPr>
        <w:t>Matitini</w:t>
      </w:r>
      <w:proofErr w:type="spellEnd"/>
      <w:r w:rsidRPr="008908E0">
        <w:rPr>
          <w:rFonts w:eastAsia="Arial"/>
          <w:sz w:val="20"/>
          <w:szCs w:val="20"/>
          <w:lang w:val="en-NZ"/>
        </w:rPr>
        <w:t xml:space="preserve"> o Whitireia) and WelTec (Te Whare Wānanga o </w:t>
      </w:r>
      <w:proofErr w:type="spellStart"/>
      <w:r w:rsidRPr="008908E0">
        <w:rPr>
          <w:rFonts w:eastAsia="Arial"/>
          <w:sz w:val="20"/>
          <w:szCs w:val="20"/>
          <w:lang w:val="en-NZ"/>
        </w:rPr>
        <w:t>te</w:t>
      </w:r>
      <w:proofErr w:type="spellEnd"/>
      <w:r w:rsidRPr="008908E0">
        <w:rPr>
          <w:rFonts w:eastAsia="Arial"/>
          <w:sz w:val="20"/>
          <w:szCs w:val="20"/>
          <w:lang w:val="en-NZ"/>
        </w:rPr>
        <w:t xml:space="preserve"> </w:t>
      </w:r>
      <w:proofErr w:type="spellStart"/>
      <w:r w:rsidRPr="008908E0">
        <w:rPr>
          <w:rFonts w:eastAsia="Arial"/>
          <w:sz w:val="20"/>
          <w:szCs w:val="20"/>
          <w:lang w:val="en-NZ"/>
        </w:rPr>
        <w:t>Awakairangi</w:t>
      </w:r>
      <w:proofErr w:type="spellEnd"/>
      <w:r w:rsidRPr="008908E0">
        <w:rPr>
          <w:rFonts w:eastAsia="Arial"/>
          <w:sz w:val="20"/>
          <w:szCs w:val="20"/>
          <w:lang w:val="en-NZ"/>
        </w:rPr>
        <w:t xml:space="preserve">) </w:t>
      </w:r>
      <w:r>
        <w:rPr>
          <w:rFonts w:eastAsia="Arial"/>
          <w:sz w:val="20"/>
          <w:szCs w:val="20"/>
          <w:lang w:val="en-NZ"/>
        </w:rPr>
        <w:t>is a vocational education business division of NZIST</w:t>
      </w:r>
      <w:r w:rsidRPr="008908E0">
        <w:rPr>
          <w:rFonts w:eastAsia="Arial"/>
          <w:sz w:val="20"/>
          <w:szCs w:val="20"/>
          <w:lang w:val="en-NZ"/>
        </w:rPr>
        <w:t xml:space="preserve">. </w:t>
      </w:r>
      <w:r>
        <w:rPr>
          <w:rFonts w:eastAsia="Arial"/>
          <w:sz w:val="20"/>
          <w:szCs w:val="20"/>
          <w:lang w:val="en-NZ"/>
        </w:rPr>
        <w:t>From the 1</w:t>
      </w:r>
      <w:r w:rsidRPr="00F76DC0">
        <w:rPr>
          <w:rFonts w:eastAsia="Arial"/>
          <w:sz w:val="20"/>
          <w:szCs w:val="20"/>
          <w:vertAlign w:val="superscript"/>
          <w:lang w:val="en-NZ"/>
        </w:rPr>
        <w:t>st</w:t>
      </w:r>
      <w:r>
        <w:rPr>
          <w:rFonts w:eastAsia="Arial"/>
          <w:sz w:val="20"/>
          <w:szCs w:val="20"/>
          <w:lang w:val="en-NZ"/>
        </w:rPr>
        <w:t xml:space="preserve"> of January 2027 it will be a legal entity </w:t>
      </w:r>
      <w:proofErr w:type="gramStart"/>
      <w:r>
        <w:rPr>
          <w:rFonts w:eastAsia="Arial"/>
          <w:sz w:val="20"/>
          <w:szCs w:val="20"/>
          <w:lang w:val="en-NZ"/>
        </w:rPr>
        <w:t>in its own right providing</w:t>
      </w:r>
      <w:proofErr w:type="gramEnd"/>
      <w:r>
        <w:rPr>
          <w:rFonts w:eastAsia="Arial"/>
          <w:sz w:val="20"/>
          <w:szCs w:val="20"/>
          <w:lang w:val="en-NZ"/>
        </w:rPr>
        <w:t xml:space="preserve"> vocational education to Wellington and the wider region. </w:t>
      </w:r>
    </w:p>
    <w:p w14:paraId="38D25224" w14:textId="1BAAEFB4" w:rsidR="00B36564" w:rsidRDefault="006D7BE5" w:rsidP="00B36564">
      <w:pPr>
        <w:pStyle w:val="BodyText"/>
        <w:spacing w:before="159" w:line="259" w:lineRule="auto"/>
        <w:ind w:left="165" w:right="19"/>
      </w:pPr>
      <w:r>
        <w:t>Whitireia and WelTec</w:t>
      </w:r>
      <w:r w:rsidR="00B36564">
        <w:t xml:space="preserve"> change lives. We provide professional, vocational, and foundation education where </w:t>
      </w:r>
      <w:proofErr w:type="spellStart"/>
      <w:r w:rsidR="004373D4">
        <w:t>ākonga</w:t>
      </w:r>
      <w:proofErr w:type="spellEnd"/>
      <w:r w:rsidR="00B36564">
        <w:t xml:space="preserve"> learn the real skills they need to build careers and successful productive lives. We work collaboratively with employers to ensure our training is relevant and we contribute to the economic and social well-being of our communities by providing people with the applied and life skills needed</w:t>
      </w:r>
      <w:r w:rsidR="00B36564">
        <w:rPr>
          <w:spacing w:val="-2"/>
        </w:rPr>
        <w:t xml:space="preserve"> </w:t>
      </w:r>
      <w:r w:rsidR="00B36564">
        <w:t>for success.</w:t>
      </w:r>
      <w:r w:rsidR="00B36564">
        <w:rPr>
          <w:spacing w:val="-8"/>
        </w:rPr>
        <w:t xml:space="preserve"> </w:t>
      </w:r>
      <w:r w:rsidR="00B36564">
        <w:t>We</w:t>
      </w:r>
      <w:r w:rsidR="00B36564">
        <w:rPr>
          <w:spacing w:val="-4"/>
        </w:rPr>
        <w:t xml:space="preserve"> </w:t>
      </w:r>
      <w:r w:rsidR="00B36564">
        <w:t>do</w:t>
      </w:r>
      <w:r w:rsidR="00B36564">
        <w:rPr>
          <w:spacing w:val="-2"/>
        </w:rPr>
        <w:t xml:space="preserve"> </w:t>
      </w:r>
      <w:r w:rsidR="00B36564">
        <w:t>this for school</w:t>
      </w:r>
      <w:r w:rsidR="00B36564">
        <w:rPr>
          <w:spacing w:val="-2"/>
        </w:rPr>
        <w:t xml:space="preserve"> </w:t>
      </w:r>
      <w:r w:rsidR="00B36564">
        <w:t>leavers,</w:t>
      </w:r>
      <w:r w:rsidR="00B36564">
        <w:rPr>
          <w:spacing w:val="-1"/>
        </w:rPr>
        <w:t xml:space="preserve"> </w:t>
      </w:r>
      <w:r w:rsidR="00B36564">
        <w:t>those</w:t>
      </w:r>
      <w:r w:rsidR="00B36564">
        <w:rPr>
          <w:spacing w:val="-1"/>
        </w:rPr>
        <w:t xml:space="preserve"> </w:t>
      </w:r>
      <w:r w:rsidR="00B36564">
        <w:t>in</w:t>
      </w:r>
      <w:r w:rsidR="00B36564">
        <w:rPr>
          <w:spacing w:val="-1"/>
        </w:rPr>
        <w:t xml:space="preserve"> </w:t>
      </w:r>
      <w:r w:rsidR="00B36564">
        <w:t>employment who</w:t>
      </w:r>
      <w:r w:rsidR="00B36564">
        <w:rPr>
          <w:spacing w:val="-1"/>
        </w:rPr>
        <w:t xml:space="preserve"> </w:t>
      </w:r>
      <w:r w:rsidR="00B36564">
        <w:t xml:space="preserve">are </w:t>
      </w:r>
      <w:proofErr w:type="gramStart"/>
      <w:r w:rsidR="00B36564">
        <w:t>upskilling</w:t>
      </w:r>
      <w:proofErr w:type="gramEnd"/>
      <w:r w:rsidR="00B36564">
        <w:t>,</w:t>
      </w:r>
      <w:r w:rsidR="00B36564">
        <w:rPr>
          <w:spacing w:val="-1"/>
        </w:rPr>
        <w:t xml:space="preserve"> </w:t>
      </w:r>
      <w:r w:rsidR="00B36564">
        <w:t>and</w:t>
      </w:r>
      <w:r w:rsidR="00B36564">
        <w:rPr>
          <w:spacing w:val="-1"/>
        </w:rPr>
        <w:t xml:space="preserve"> </w:t>
      </w:r>
      <w:r w:rsidR="00B36564">
        <w:t xml:space="preserve">those returning to work or changing careers. We offer all levels from foundation courses to </w:t>
      </w:r>
      <w:proofErr w:type="spellStart"/>
      <w:r w:rsidR="00B36564">
        <w:t>specialised</w:t>
      </w:r>
      <w:proofErr w:type="spellEnd"/>
      <w:r w:rsidR="00B36564">
        <w:t xml:space="preserve"> </w:t>
      </w:r>
      <w:proofErr w:type="gramStart"/>
      <w:r w:rsidR="00B36564">
        <w:t>Masters</w:t>
      </w:r>
      <w:proofErr w:type="gramEnd"/>
      <w:r w:rsidR="00B36564">
        <w:t xml:space="preserve"> degrees, and in a huge range of subjects – from </w:t>
      </w:r>
      <w:r w:rsidR="00714A7A">
        <w:t>digital media</w:t>
      </w:r>
      <w:r w:rsidR="00B36564">
        <w:t xml:space="preserve"> to</w:t>
      </w:r>
      <w:r w:rsidR="00714A7A">
        <w:t xml:space="preserve"> </w:t>
      </w:r>
      <w:r w:rsidR="00B36564">
        <w:t>nursing.</w:t>
      </w:r>
    </w:p>
    <w:p w14:paraId="77A60BC3" w14:textId="77777777" w:rsidR="00B36564" w:rsidRDefault="00B36564" w:rsidP="00B36564">
      <w:pPr>
        <w:pStyle w:val="BodyText"/>
        <w:spacing w:before="160" w:line="256" w:lineRule="auto"/>
        <w:ind w:left="165" w:right="22"/>
      </w:pPr>
      <w:r>
        <w:t>What we do is important and we are proud to be able to say that we do it very well – Whitireia and WelTec are consistently among the highest performing institutes of technology in New Zealand.</w:t>
      </w:r>
    </w:p>
    <w:p w14:paraId="381E2C21" w14:textId="77777777" w:rsidR="00B36564" w:rsidRDefault="00B36564" w:rsidP="00B36564">
      <w:pPr>
        <w:pStyle w:val="BodyText"/>
      </w:pPr>
    </w:p>
    <w:p w14:paraId="2DC46B88" w14:textId="77777777" w:rsidR="001E4CD4" w:rsidRDefault="001E4CD4" w:rsidP="001E4CD4">
      <w:pPr>
        <w:ind w:left="0"/>
        <w:rPr>
          <w:rFonts w:eastAsia="Arial"/>
          <w:sz w:val="20"/>
          <w:szCs w:val="20"/>
          <w:lang w:val="en-NZ"/>
        </w:rPr>
      </w:pPr>
    </w:p>
    <w:p w14:paraId="635E07BC" w14:textId="77777777" w:rsidR="001E4CD4" w:rsidRPr="008908E0" w:rsidRDefault="001E4CD4" w:rsidP="001E4CD4">
      <w:pPr>
        <w:ind w:left="0"/>
        <w:rPr>
          <w:rFonts w:eastAsia="Arial"/>
          <w:sz w:val="20"/>
          <w:szCs w:val="20"/>
          <w:lang w:val="en-NZ"/>
        </w:rPr>
      </w:pPr>
    </w:p>
    <w:tbl>
      <w:tblPr>
        <w:tblStyle w:val="TableGrid"/>
        <w:tblW w:w="5000" w:type="pct"/>
        <w:tblLook w:val="04A0" w:firstRow="1" w:lastRow="0" w:firstColumn="1" w:lastColumn="0" w:noHBand="0" w:noVBand="1"/>
      </w:tblPr>
      <w:tblGrid>
        <w:gridCol w:w="9026"/>
      </w:tblGrid>
      <w:tr w:rsidR="001E4CD4" w:rsidRPr="008908E0" w14:paraId="3E288058" w14:textId="77777777" w:rsidTr="001E4CD4">
        <w:trPr>
          <w:trHeight w:val="442"/>
        </w:trPr>
        <w:tc>
          <w:tcPr>
            <w:tcW w:w="5000" w:type="pct"/>
            <w:tcBorders>
              <w:top w:val="single" w:sz="4" w:space="0" w:color="auto"/>
              <w:left w:val="nil"/>
              <w:bottom w:val="single" w:sz="4" w:space="0" w:color="auto"/>
              <w:right w:val="nil"/>
            </w:tcBorders>
            <w:shd w:val="clear" w:color="auto" w:fill="F2F2F2" w:themeFill="background1" w:themeFillShade="F2"/>
            <w:vAlign w:val="center"/>
            <w:hideMark/>
          </w:tcPr>
          <w:p w14:paraId="295BB481" w14:textId="77777777" w:rsidR="001E4CD4" w:rsidRPr="008908E0" w:rsidRDefault="001E4CD4" w:rsidP="001E4CD4">
            <w:pPr>
              <w:ind w:left="0"/>
              <w:rPr>
                <w:rFonts w:eastAsiaTheme="minorHAnsi"/>
                <w:b/>
                <w:sz w:val="20"/>
                <w:lang w:val="en-NZ"/>
              </w:rPr>
            </w:pPr>
            <w:r w:rsidRPr="008908E0">
              <w:rPr>
                <w:b/>
                <w:sz w:val="20"/>
                <w:lang w:val="en-NZ"/>
              </w:rPr>
              <w:t xml:space="preserve">Our Guiding Principles </w:t>
            </w:r>
          </w:p>
        </w:tc>
      </w:tr>
    </w:tbl>
    <w:p w14:paraId="32D094C0" w14:textId="77777777" w:rsidR="001E4CD4" w:rsidRPr="008908E0" w:rsidRDefault="001E4CD4" w:rsidP="001E4CD4">
      <w:pPr>
        <w:ind w:left="0"/>
        <w:rPr>
          <w:rFonts w:eastAsia="Arial" w:cstheme="minorBidi"/>
          <w:sz w:val="20"/>
          <w:szCs w:val="20"/>
          <w:lang w:val="en-NZ"/>
        </w:rPr>
      </w:pPr>
    </w:p>
    <w:p w14:paraId="06E748FE" w14:textId="77777777" w:rsidR="001E4CD4" w:rsidRPr="008908E0" w:rsidRDefault="001E4CD4" w:rsidP="001E4CD4">
      <w:pPr>
        <w:ind w:left="0"/>
        <w:rPr>
          <w:rFonts w:eastAsia="Arial"/>
          <w:sz w:val="20"/>
          <w:szCs w:val="20"/>
          <w:lang w:val="en-NZ"/>
        </w:rPr>
      </w:pPr>
      <w:r w:rsidRPr="008908E0">
        <w:rPr>
          <w:rFonts w:eastAsia="Arial"/>
          <w:sz w:val="20"/>
          <w:szCs w:val="20"/>
          <w:lang w:val="en-NZ"/>
        </w:rPr>
        <w:t>We put people at the heart of everything we do. Key principles that underpin the way we operate include:</w:t>
      </w:r>
    </w:p>
    <w:p w14:paraId="02E5FF19" w14:textId="77777777" w:rsidR="00B36564" w:rsidRDefault="00B36564" w:rsidP="001E4CD4">
      <w:pPr>
        <w:ind w:left="0"/>
        <w:rPr>
          <w:rFonts w:eastAsia="Arial"/>
          <w:b/>
          <w:sz w:val="20"/>
          <w:szCs w:val="20"/>
          <w:lang w:val="en-NZ"/>
        </w:rPr>
      </w:pPr>
    </w:p>
    <w:p w14:paraId="71E7F76F" w14:textId="5A47787B" w:rsidR="001E4CD4" w:rsidRPr="008908E0" w:rsidRDefault="001E4CD4" w:rsidP="001E4CD4">
      <w:pPr>
        <w:ind w:left="0"/>
        <w:rPr>
          <w:rFonts w:eastAsia="Arial"/>
          <w:sz w:val="20"/>
          <w:szCs w:val="20"/>
          <w:lang w:val="en-NZ"/>
        </w:rPr>
      </w:pPr>
      <w:r w:rsidRPr="008908E0">
        <w:rPr>
          <w:rFonts w:eastAsia="Arial"/>
          <w:b/>
          <w:sz w:val="20"/>
          <w:szCs w:val="20"/>
          <w:lang w:val="en-NZ"/>
        </w:rPr>
        <w:t xml:space="preserve">Te </w:t>
      </w:r>
      <w:proofErr w:type="spellStart"/>
      <w:r w:rsidRPr="008908E0">
        <w:rPr>
          <w:rFonts w:eastAsia="Arial"/>
          <w:b/>
          <w:sz w:val="20"/>
          <w:szCs w:val="20"/>
          <w:lang w:val="en-NZ"/>
        </w:rPr>
        <w:t>Tiriti</w:t>
      </w:r>
      <w:proofErr w:type="spellEnd"/>
      <w:r w:rsidRPr="008908E0">
        <w:rPr>
          <w:rFonts w:eastAsia="Arial"/>
          <w:b/>
          <w:sz w:val="20"/>
          <w:szCs w:val="20"/>
          <w:lang w:val="en-NZ"/>
        </w:rPr>
        <w:t xml:space="preserve"> o Waitangi</w:t>
      </w:r>
      <w:r w:rsidRPr="008908E0">
        <w:rPr>
          <w:rFonts w:eastAsia="Arial"/>
          <w:sz w:val="20"/>
          <w:szCs w:val="20"/>
          <w:lang w:val="en-NZ"/>
        </w:rPr>
        <w:t xml:space="preserve"> – taking all practical steps to create and maintain a culturally sensitive environment for all who are part of what we do.</w:t>
      </w:r>
    </w:p>
    <w:p w14:paraId="3547877B" w14:textId="77777777" w:rsidR="00B36564" w:rsidRDefault="00B36564" w:rsidP="001E4CD4">
      <w:pPr>
        <w:ind w:left="0"/>
        <w:rPr>
          <w:rFonts w:eastAsia="Arial"/>
          <w:b/>
          <w:sz w:val="20"/>
          <w:szCs w:val="20"/>
          <w:lang w:val="en-NZ"/>
        </w:rPr>
      </w:pPr>
    </w:p>
    <w:p w14:paraId="6B0C623F" w14:textId="0DAE18E4" w:rsidR="001E4CD4" w:rsidRPr="008908E0" w:rsidRDefault="001E4CD4" w:rsidP="001E4CD4">
      <w:pPr>
        <w:ind w:left="0"/>
        <w:rPr>
          <w:rFonts w:eastAsia="Arial"/>
          <w:sz w:val="20"/>
          <w:szCs w:val="20"/>
          <w:lang w:val="en-NZ"/>
        </w:rPr>
      </w:pPr>
      <w:r w:rsidRPr="008908E0">
        <w:rPr>
          <w:rFonts w:eastAsia="Arial"/>
          <w:b/>
          <w:sz w:val="20"/>
          <w:szCs w:val="20"/>
          <w:lang w:val="en-NZ"/>
        </w:rPr>
        <w:t>Flexibility</w:t>
      </w:r>
      <w:r w:rsidRPr="008908E0">
        <w:rPr>
          <w:rFonts w:eastAsia="Arial"/>
          <w:sz w:val="20"/>
          <w:szCs w:val="20"/>
          <w:lang w:val="en-NZ"/>
        </w:rPr>
        <w:t xml:space="preserve"> – providing for the diverse needs of learners through blended and adaptable teaching and learning models and engaging and valuing </w:t>
      </w:r>
      <w:proofErr w:type="spellStart"/>
      <w:r w:rsidR="004373D4" w:rsidRPr="004373D4">
        <w:rPr>
          <w:rFonts w:eastAsia="Arial"/>
          <w:sz w:val="20"/>
          <w:szCs w:val="20"/>
          <w:lang w:val="en-NZ"/>
        </w:rPr>
        <w:t>ākonga</w:t>
      </w:r>
      <w:proofErr w:type="spellEnd"/>
      <w:r w:rsidRPr="008908E0">
        <w:rPr>
          <w:rFonts w:eastAsia="Arial"/>
          <w:sz w:val="20"/>
          <w:szCs w:val="20"/>
          <w:lang w:val="en-NZ"/>
        </w:rPr>
        <w:t xml:space="preserve"> as individuals with unique needs and aspirations.</w:t>
      </w:r>
    </w:p>
    <w:p w14:paraId="72E03CF1" w14:textId="77777777" w:rsidR="00B36564" w:rsidRDefault="00B36564" w:rsidP="001E4CD4">
      <w:pPr>
        <w:ind w:left="0"/>
        <w:rPr>
          <w:rFonts w:eastAsia="Arial"/>
          <w:b/>
          <w:sz w:val="20"/>
          <w:szCs w:val="20"/>
          <w:lang w:val="en-NZ"/>
        </w:rPr>
      </w:pPr>
    </w:p>
    <w:p w14:paraId="5521EDB7" w14:textId="142537F4" w:rsidR="001E4CD4" w:rsidRPr="008908E0" w:rsidRDefault="001E4CD4" w:rsidP="001E4CD4">
      <w:pPr>
        <w:ind w:left="0"/>
        <w:rPr>
          <w:rFonts w:eastAsia="Arial"/>
          <w:sz w:val="20"/>
          <w:szCs w:val="20"/>
          <w:lang w:val="en-NZ"/>
        </w:rPr>
      </w:pPr>
      <w:r w:rsidRPr="008908E0">
        <w:rPr>
          <w:rFonts w:eastAsia="Arial"/>
          <w:b/>
          <w:sz w:val="20"/>
          <w:szCs w:val="20"/>
          <w:lang w:val="en-NZ"/>
        </w:rPr>
        <w:t>Community engagement</w:t>
      </w:r>
      <w:r w:rsidRPr="008908E0">
        <w:rPr>
          <w:rFonts w:eastAsia="Arial"/>
          <w:sz w:val="20"/>
          <w:szCs w:val="20"/>
          <w:lang w:val="en-NZ"/>
        </w:rPr>
        <w:t xml:space="preserve"> – engaging actively with Iwi and priority groups to encourage participation and success; alignment with secondary schools to provide seamless transitions into tertiary study; close involvement with local communities and economic bodies.</w:t>
      </w:r>
    </w:p>
    <w:p w14:paraId="1E6F4901" w14:textId="77777777" w:rsidR="00B36564" w:rsidRDefault="00B36564" w:rsidP="001E4CD4">
      <w:pPr>
        <w:ind w:left="0"/>
        <w:rPr>
          <w:rFonts w:eastAsia="Arial"/>
          <w:b/>
          <w:sz w:val="20"/>
          <w:szCs w:val="20"/>
          <w:lang w:val="en-NZ"/>
        </w:rPr>
      </w:pPr>
    </w:p>
    <w:p w14:paraId="396B27B2" w14:textId="6E11C48A" w:rsidR="00B36564" w:rsidRDefault="001E4CD4" w:rsidP="001E4CD4">
      <w:pPr>
        <w:ind w:left="0"/>
        <w:rPr>
          <w:rFonts w:eastAsia="Arial"/>
          <w:sz w:val="20"/>
          <w:szCs w:val="20"/>
          <w:lang w:val="en-NZ"/>
        </w:rPr>
      </w:pPr>
      <w:r w:rsidRPr="008908E0">
        <w:rPr>
          <w:rFonts w:eastAsia="Arial"/>
          <w:b/>
          <w:sz w:val="20"/>
          <w:szCs w:val="20"/>
          <w:lang w:val="en-NZ"/>
        </w:rPr>
        <w:t>Active collaboration</w:t>
      </w:r>
      <w:r w:rsidRPr="008908E0">
        <w:rPr>
          <w:rFonts w:eastAsia="Arial"/>
          <w:sz w:val="20"/>
          <w:szCs w:val="20"/>
          <w:lang w:val="en-NZ"/>
        </w:rPr>
        <w:t xml:space="preserve"> – working </w:t>
      </w:r>
      <w:proofErr w:type="gramStart"/>
      <w:r w:rsidRPr="008908E0">
        <w:rPr>
          <w:rFonts w:eastAsia="Arial"/>
          <w:sz w:val="20"/>
          <w:szCs w:val="20"/>
          <w:lang w:val="en-NZ"/>
        </w:rPr>
        <w:t>hand-in-hand</w:t>
      </w:r>
      <w:proofErr w:type="gramEnd"/>
      <w:r w:rsidRPr="008908E0">
        <w:rPr>
          <w:rFonts w:eastAsia="Arial"/>
          <w:sz w:val="20"/>
          <w:szCs w:val="20"/>
          <w:lang w:val="en-NZ"/>
        </w:rPr>
        <w:t xml:space="preserve"> with industry and employers to ensure the relevance of ITP education to the needs of industry. Providing real-world learning experiences for </w:t>
      </w:r>
      <w:proofErr w:type="spellStart"/>
      <w:r w:rsidR="004373D4">
        <w:rPr>
          <w:rFonts w:eastAsia="Arial"/>
          <w:sz w:val="20"/>
          <w:szCs w:val="20"/>
          <w:lang w:val="en-NZ"/>
        </w:rPr>
        <w:t>ākonga</w:t>
      </w:r>
      <w:proofErr w:type="spellEnd"/>
      <w:r w:rsidRPr="008908E0">
        <w:rPr>
          <w:rFonts w:eastAsia="Arial"/>
          <w:sz w:val="20"/>
          <w:szCs w:val="20"/>
          <w:lang w:val="en-NZ"/>
        </w:rPr>
        <w:t>, increasing industry productivity through sharing knowledge and research and collaborating with Government to align with broader New Zealand objectives and resources.</w:t>
      </w:r>
    </w:p>
    <w:p w14:paraId="18516AC1" w14:textId="77777777" w:rsidR="00B36564" w:rsidRDefault="00B36564" w:rsidP="001E4CD4">
      <w:pPr>
        <w:ind w:left="0"/>
        <w:rPr>
          <w:rFonts w:eastAsia="Arial"/>
          <w:b/>
          <w:sz w:val="20"/>
          <w:szCs w:val="20"/>
          <w:lang w:val="en-NZ"/>
        </w:rPr>
      </w:pPr>
    </w:p>
    <w:p w14:paraId="2D18F7AA" w14:textId="21C51ABE" w:rsidR="001E4CD4" w:rsidRPr="008908E0" w:rsidRDefault="001E4CD4" w:rsidP="001E4CD4">
      <w:pPr>
        <w:ind w:left="0"/>
        <w:rPr>
          <w:rFonts w:eastAsia="Arial"/>
          <w:sz w:val="20"/>
          <w:szCs w:val="20"/>
          <w:lang w:val="en-NZ"/>
        </w:rPr>
      </w:pPr>
      <w:r w:rsidRPr="008908E0">
        <w:rPr>
          <w:rFonts w:eastAsia="Arial"/>
          <w:b/>
          <w:sz w:val="20"/>
          <w:szCs w:val="20"/>
          <w:lang w:val="en-NZ"/>
        </w:rPr>
        <w:lastRenderedPageBreak/>
        <w:t>Leadership</w:t>
      </w:r>
      <w:r w:rsidRPr="008908E0">
        <w:rPr>
          <w:rFonts w:eastAsia="Arial"/>
          <w:sz w:val="20"/>
          <w:szCs w:val="20"/>
          <w:lang w:val="en-NZ"/>
        </w:rPr>
        <w:t xml:space="preserve"> – providing a framework and a vision for the </w:t>
      </w:r>
      <w:r w:rsidR="007363FB">
        <w:rPr>
          <w:rFonts w:eastAsia="Arial"/>
          <w:sz w:val="20"/>
          <w:szCs w:val="20"/>
          <w:lang w:val="en-NZ"/>
        </w:rPr>
        <w:t>vocational education</w:t>
      </w:r>
      <w:r w:rsidRPr="008908E0">
        <w:rPr>
          <w:rFonts w:eastAsia="Arial"/>
          <w:sz w:val="20"/>
          <w:szCs w:val="20"/>
          <w:lang w:val="en-NZ"/>
        </w:rPr>
        <w:t xml:space="preserve"> sector in New Zealand that garners support from education providers, Government, industry, learners, their influencers and the communities we serve.</w:t>
      </w:r>
    </w:p>
    <w:p w14:paraId="303FA2F6" w14:textId="77777777" w:rsidR="00B36564" w:rsidRDefault="00B36564" w:rsidP="001E4CD4">
      <w:pPr>
        <w:ind w:left="0"/>
        <w:rPr>
          <w:rFonts w:eastAsia="Arial"/>
          <w:b/>
          <w:sz w:val="20"/>
          <w:szCs w:val="20"/>
          <w:lang w:val="en-NZ"/>
        </w:rPr>
      </w:pPr>
    </w:p>
    <w:p w14:paraId="31E20575" w14:textId="341658F3" w:rsidR="001E4CD4" w:rsidRPr="008908E0" w:rsidRDefault="001E4CD4" w:rsidP="001E4CD4">
      <w:pPr>
        <w:ind w:left="0"/>
        <w:rPr>
          <w:rFonts w:eastAsia="Arial"/>
          <w:sz w:val="20"/>
          <w:szCs w:val="20"/>
          <w:lang w:val="en-NZ"/>
        </w:rPr>
      </w:pPr>
      <w:r w:rsidRPr="008908E0">
        <w:rPr>
          <w:rFonts w:eastAsia="Arial"/>
          <w:b/>
          <w:sz w:val="20"/>
          <w:szCs w:val="20"/>
          <w:lang w:val="en-NZ"/>
        </w:rPr>
        <w:t>Advancement of New Zealand</w:t>
      </w:r>
      <w:r w:rsidRPr="008908E0">
        <w:rPr>
          <w:rFonts w:eastAsia="Arial"/>
          <w:sz w:val="20"/>
          <w:szCs w:val="20"/>
          <w:lang w:val="en-NZ"/>
        </w:rPr>
        <w:t xml:space="preserve"> – providing measurable economic and social benefit to New Zealand through increasing capability and employability of </w:t>
      </w:r>
      <w:proofErr w:type="spellStart"/>
      <w:r w:rsidR="004373D4">
        <w:rPr>
          <w:rFonts w:eastAsia="Arial"/>
          <w:sz w:val="20"/>
          <w:szCs w:val="20"/>
          <w:lang w:val="en-NZ"/>
        </w:rPr>
        <w:t>ākonga</w:t>
      </w:r>
      <w:proofErr w:type="spellEnd"/>
      <w:r w:rsidRPr="008908E0">
        <w:rPr>
          <w:rFonts w:eastAsia="Arial"/>
          <w:sz w:val="20"/>
          <w:szCs w:val="20"/>
          <w:lang w:val="en-NZ"/>
        </w:rPr>
        <w:t>, actively driving growth in international student engagement (onshore and offshore), building economic resilience, entrepreneurial capability and a skill base that is transferable and transportable on a global basis.</w:t>
      </w:r>
    </w:p>
    <w:p w14:paraId="46F82508" w14:textId="77777777" w:rsidR="001E4CD4" w:rsidRPr="008908E0" w:rsidRDefault="001E4CD4" w:rsidP="001E4CD4">
      <w:pPr>
        <w:ind w:left="0"/>
        <w:rPr>
          <w:rFonts w:eastAsiaTheme="minorHAnsi"/>
          <w:sz w:val="20"/>
          <w:lang w:val="en-NZ"/>
        </w:rPr>
      </w:pPr>
    </w:p>
    <w:tbl>
      <w:tblPr>
        <w:tblStyle w:val="TableGrid"/>
        <w:tblW w:w="5000" w:type="pct"/>
        <w:tblLook w:val="04A0" w:firstRow="1" w:lastRow="0" w:firstColumn="1" w:lastColumn="0" w:noHBand="0" w:noVBand="1"/>
      </w:tblPr>
      <w:tblGrid>
        <w:gridCol w:w="9026"/>
      </w:tblGrid>
      <w:tr w:rsidR="001E4CD4" w:rsidRPr="008908E0" w14:paraId="0CBBD3DB" w14:textId="77777777" w:rsidTr="001E4CD4">
        <w:trPr>
          <w:trHeight w:val="442"/>
        </w:trPr>
        <w:tc>
          <w:tcPr>
            <w:tcW w:w="5000" w:type="pct"/>
            <w:tcBorders>
              <w:top w:val="single" w:sz="4" w:space="0" w:color="auto"/>
              <w:left w:val="nil"/>
              <w:bottom w:val="single" w:sz="4" w:space="0" w:color="auto"/>
              <w:right w:val="nil"/>
            </w:tcBorders>
            <w:shd w:val="clear" w:color="auto" w:fill="F2F2F2" w:themeFill="background1" w:themeFillShade="F2"/>
            <w:vAlign w:val="center"/>
            <w:hideMark/>
          </w:tcPr>
          <w:p w14:paraId="38B18158" w14:textId="77777777" w:rsidR="001E4CD4" w:rsidRPr="008908E0" w:rsidRDefault="001E4CD4" w:rsidP="001E4CD4">
            <w:pPr>
              <w:ind w:left="0"/>
              <w:rPr>
                <w:b/>
                <w:sz w:val="20"/>
                <w:lang w:val="en-NZ"/>
              </w:rPr>
            </w:pPr>
            <w:r w:rsidRPr="008908E0">
              <w:rPr>
                <w:b/>
                <w:sz w:val="20"/>
                <w:lang w:val="en-NZ"/>
              </w:rPr>
              <w:t xml:space="preserve">Position Purpose </w:t>
            </w:r>
          </w:p>
        </w:tc>
      </w:tr>
    </w:tbl>
    <w:p w14:paraId="1CBB2598" w14:textId="77777777" w:rsidR="001E4CD4" w:rsidRPr="008908E0" w:rsidRDefault="001E4CD4" w:rsidP="001E4CD4">
      <w:pPr>
        <w:ind w:left="0"/>
        <w:rPr>
          <w:rFonts w:eastAsia="Arial" w:cstheme="minorBidi"/>
          <w:sz w:val="20"/>
          <w:szCs w:val="20"/>
          <w:lang w:val="en-NZ"/>
        </w:rPr>
      </w:pPr>
    </w:p>
    <w:p w14:paraId="529DF210" w14:textId="4D96AA57" w:rsidR="001E4CD4" w:rsidRPr="008908E0" w:rsidRDefault="001E4CD4" w:rsidP="001E4CD4">
      <w:pPr>
        <w:pStyle w:val="TableParagraph"/>
        <w:ind w:left="0" w:right="-46"/>
        <w:jc w:val="both"/>
        <w:rPr>
          <w:rFonts w:ascii="Arial" w:hAnsi="Arial" w:cs="Arial"/>
          <w:sz w:val="20"/>
          <w:szCs w:val="20"/>
          <w:lang w:val="en-NZ"/>
        </w:rPr>
      </w:pPr>
      <w:r w:rsidRPr="008908E0">
        <w:rPr>
          <w:rFonts w:ascii="Arial" w:hAnsi="Arial" w:cs="Arial"/>
          <w:sz w:val="20"/>
          <w:szCs w:val="20"/>
          <w:lang w:val="en-NZ"/>
        </w:rPr>
        <w:t>The purpose of the Head of School role is to provide strong academic and operational leadership</w:t>
      </w:r>
      <w:r w:rsidR="00D31BA4">
        <w:rPr>
          <w:rFonts w:ascii="Arial" w:hAnsi="Arial" w:cs="Arial"/>
          <w:sz w:val="20"/>
          <w:szCs w:val="20"/>
          <w:lang w:val="en-NZ"/>
        </w:rPr>
        <w:t xml:space="preserve"> and management</w:t>
      </w:r>
      <w:r w:rsidRPr="008908E0">
        <w:rPr>
          <w:rFonts w:ascii="Arial" w:hAnsi="Arial" w:cs="Arial"/>
          <w:sz w:val="20"/>
          <w:szCs w:val="20"/>
          <w:lang w:val="en-NZ"/>
        </w:rPr>
        <w:t xml:space="preserve"> for their School, and to work as part of the </w:t>
      </w:r>
      <w:r w:rsidR="00B36564">
        <w:rPr>
          <w:rFonts w:ascii="Arial" w:hAnsi="Arial" w:cs="Arial"/>
          <w:sz w:val="20"/>
          <w:szCs w:val="20"/>
          <w:lang w:val="en-NZ"/>
        </w:rPr>
        <w:t>Teaching &amp; Learning</w:t>
      </w:r>
      <w:r w:rsidRPr="008908E0">
        <w:rPr>
          <w:rFonts w:ascii="Arial" w:hAnsi="Arial" w:cs="Arial"/>
          <w:sz w:val="20"/>
          <w:szCs w:val="20"/>
          <w:lang w:val="en-NZ"/>
        </w:rPr>
        <w:t xml:space="preserve"> management team to develop and implement strategies to continuously improve and innovate around how we deliver our services to </w:t>
      </w:r>
      <w:proofErr w:type="spellStart"/>
      <w:r w:rsidR="004373D4">
        <w:rPr>
          <w:rFonts w:ascii="Arial" w:hAnsi="Arial" w:cs="Arial"/>
          <w:sz w:val="20"/>
          <w:szCs w:val="20"/>
          <w:lang w:val="en-NZ"/>
        </w:rPr>
        <w:t>ākonga</w:t>
      </w:r>
      <w:proofErr w:type="spellEnd"/>
      <w:r>
        <w:rPr>
          <w:rFonts w:ascii="Arial" w:hAnsi="Arial" w:cs="Arial"/>
          <w:sz w:val="20"/>
          <w:szCs w:val="20"/>
          <w:lang w:val="en-NZ"/>
        </w:rPr>
        <w:t xml:space="preserve"> and industry.</w:t>
      </w:r>
    </w:p>
    <w:p w14:paraId="105C3259" w14:textId="77777777" w:rsidR="001E4CD4" w:rsidRPr="008908E0" w:rsidRDefault="001E4CD4" w:rsidP="001E4CD4">
      <w:pPr>
        <w:pStyle w:val="TableParagraph"/>
        <w:ind w:left="0" w:right="-46"/>
        <w:jc w:val="both"/>
        <w:rPr>
          <w:rFonts w:ascii="Arial" w:hAnsi="Arial" w:cs="Arial"/>
          <w:sz w:val="20"/>
          <w:szCs w:val="20"/>
          <w:lang w:val="en-NZ"/>
        </w:rPr>
      </w:pPr>
    </w:p>
    <w:p w14:paraId="3C042E57" w14:textId="4A241A80" w:rsidR="001E4CD4" w:rsidRPr="008908E0" w:rsidRDefault="001E4CD4" w:rsidP="001E4CD4">
      <w:pPr>
        <w:pStyle w:val="TableParagraph"/>
        <w:ind w:left="0" w:right="-46"/>
        <w:jc w:val="both"/>
        <w:rPr>
          <w:rFonts w:ascii="Arial" w:hAnsi="Arial" w:cs="Arial"/>
          <w:sz w:val="20"/>
          <w:szCs w:val="20"/>
          <w:lang w:val="en-NZ"/>
        </w:rPr>
      </w:pPr>
      <w:r w:rsidRPr="008908E0">
        <w:rPr>
          <w:rFonts w:ascii="Arial" w:hAnsi="Arial" w:cs="Arial"/>
          <w:sz w:val="20"/>
          <w:szCs w:val="20"/>
          <w:lang w:val="en-NZ"/>
        </w:rPr>
        <w:t xml:space="preserve">They will also work to develop partnerships </w:t>
      </w:r>
      <w:r w:rsidR="00910B28">
        <w:rPr>
          <w:rFonts w:ascii="Arial" w:hAnsi="Arial" w:cs="Arial"/>
          <w:sz w:val="20"/>
          <w:szCs w:val="20"/>
          <w:lang w:val="en-NZ"/>
        </w:rPr>
        <w:t xml:space="preserve">both internally and externally </w:t>
      </w:r>
      <w:r w:rsidRPr="008908E0">
        <w:rPr>
          <w:rFonts w:ascii="Arial" w:hAnsi="Arial" w:cs="Arial"/>
          <w:sz w:val="20"/>
          <w:szCs w:val="20"/>
          <w:lang w:val="en-NZ"/>
        </w:rPr>
        <w:t xml:space="preserve">to provide an exciting, relevant and seamless programme offering to </w:t>
      </w:r>
      <w:r w:rsidR="009F38D7">
        <w:rPr>
          <w:rFonts w:ascii="Arial" w:hAnsi="Arial" w:cs="Arial"/>
          <w:sz w:val="20"/>
          <w:szCs w:val="20"/>
          <w:lang w:val="en-NZ"/>
        </w:rPr>
        <w:t xml:space="preserve">diverse range of </w:t>
      </w:r>
      <w:proofErr w:type="spellStart"/>
      <w:r w:rsidR="004373D4">
        <w:rPr>
          <w:rFonts w:ascii="Arial" w:hAnsi="Arial" w:cs="Arial"/>
          <w:sz w:val="20"/>
          <w:szCs w:val="20"/>
          <w:lang w:val="en-NZ"/>
        </w:rPr>
        <w:t>ākonga</w:t>
      </w:r>
      <w:proofErr w:type="spellEnd"/>
      <w:r w:rsidR="009F38D7">
        <w:rPr>
          <w:rFonts w:ascii="Arial" w:hAnsi="Arial" w:cs="Arial"/>
          <w:sz w:val="20"/>
          <w:szCs w:val="20"/>
          <w:lang w:val="en-NZ"/>
        </w:rPr>
        <w:t>.</w:t>
      </w:r>
    </w:p>
    <w:p w14:paraId="07728751" w14:textId="77777777" w:rsidR="001E4CD4" w:rsidRDefault="001E4CD4" w:rsidP="001E4CD4">
      <w:pPr>
        <w:ind w:left="0"/>
        <w:rPr>
          <w:sz w:val="20"/>
          <w:lang w:val="en-NZ"/>
        </w:rPr>
      </w:pPr>
    </w:p>
    <w:tbl>
      <w:tblPr>
        <w:tblStyle w:val="TableGrid"/>
        <w:tblW w:w="5000" w:type="pct"/>
        <w:tblLook w:val="04A0" w:firstRow="1" w:lastRow="0" w:firstColumn="1" w:lastColumn="0" w:noHBand="0" w:noVBand="1"/>
      </w:tblPr>
      <w:tblGrid>
        <w:gridCol w:w="9026"/>
      </w:tblGrid>
      <w:tr w:rsidR="001E4CD4" w:rsidRPr="008908E0" w14:paraId="419617D7" w14:textId="77777777" w:rsidTr="001E4CD4">
        <w:tc>
          <w:tcPr>
            <w:tcW w:w="5000" w:type="pct"/>
            <w:tcBorders>
              <w:top w:val="single" w:sz="4" w:space="0" w:color="auto"/>
              <w:left w:val="nil"/>
              <w:bottom w:val="single" w:sz="4" w:space="0" w:color="auto"/>
              <w:right w:val="nil"/>
            </w:tcBorders>
            <w:shd w:val="clear" w:color="auto" w:fill="F2F2F2" w:themeFill="background1" w:themeFillShade="F2"/>
            <w:vAlign w:val="center"/>
            <w:hideMark/>
          </w:tcPr>
          <w:p w14:paraId="4FBDDB62" w14:textId="77777777" w:rsidR="001E4CD4" w:rsidRPr="008908E0" w:rsidRDefault="001E4CD4" w:rsidP="001E4CD4">
            <w:pPr>
              <w:spacing w:before="60" w:after="60"/>
              <w:ind w:left="340" w:hanging="340"/>
              <w:rPr>
                <w:b/>
                <w:sz w:val="20"/>
                <w:lang w:val="en-NZ"/>
              </w:rPr>
            </w:pPr>
            <w:r w:rsidRPr="008908E0">
              <w:rPr>
                <w:b/>
                <w:sz w:val="20"/>
                <w:lang w:val="en-NZ"/>
              </w:rPr>
              <w:t xml:space="preserve">Key Accountabilities </w:t>
            </w:r>
          </w:p>
        </w:tc>
      </w:tr>
      <w:tr w:rsidR="001E4CD4" w:rsidRPr="008908E0" w14:paraId="3EA7F80C" w14:textId="77777777" w:rsidTr="001E4CD4">
        <w:tc>
          <w:tcPr>
            <w:tcW w:w="5000" w:type="pct"/>
            <w:tcBorders>
              <w:top w:val="nil"/>
              <w:left w:val="nil"/>
              <w:bottom w:val="single" w:sz="4" w:space="0" w:color="auto"/>
              <w:right w:val="nil"/>
            </w:tcBorders>
            <w:shd w:val="clear" w:color="auto" w:fill="FFFFFF" w:themeFill="background1"/>
            <w:vAlign w:val="center"/>
          </w:tcPr>
          <w:p w14:paraId="361D79C2" w14:textId="77777777" w:rsidR="001E4CD4" w:rsidRPr="008908E0" w:rsidRDefault="001E4CD4" w:rsidP="001E4CD4">
            <w:pPr>
              <w:pStyle w:val="TableParagraph"/>
              <w:spacing w:before="60" w:after="60"/>
              <w:ind w:left="340" w:hanging="340"/>
              <w:jc w:val="both"/>
              <w:rPr>
                <w:rFonts w:ascii="Arial" w:eastAsia="Calibri" w:hAnsi="Arial" w:cs="Arial"/>
                <w:sz w:val="20"/>
                <w:szCs w:val="20"/>
                <w:lang w:val="en-NZ"/>
              </w:rPr>
            </w:pPr>
            <w:r w:rsidRPr="008908E0">
              <w:rPr>
                <w:rFonts w:ascii="Arial" w:hAnsi="Arial" w:cs="Arial"/>
                <w:sz w:val="20"/>
                <w:szCs w:val="20"/>
                <w:lang w:val="en-NZ"/>
              </w:rPr>
              <w:t>Specifically, the Head of School will be accountable</w:t>
            </w:r>
            <w:r w:rsidRPr="008908E0">
              <w:rPr>
                <w:rFonts w:ascii="Arial" w:hAnsi="Arial" w:cs="Arial"/>
                <w:spacing w:val="-10"/>
                <w:sz w:val="20"/>
                <w:szCs w:val="20"/>
                <w:lang w:val="en-NZ"/>
              </w:rPr>
              <w:t xml:space="preserve"> </w:t>
            </w:r>
            <w:r w:rsidRPr="008908E0">
              <w:rPr>
                <w:rFonts w:ascii="Arial" w:hAnsi="Arial" w:cs="Arial"/>
                <w:sz w:val="20"/>
                <w:szCs w:val="20"/>
                <w:lang w:val="en-NZ"/>
              </w:rPr>
              <w:t>for:</w:t>
            </w:r>
          </w:p>
          <w:p w14:paraId="23D4DB79" w14:textId="14EFE106" w:rsidR="001E4CD4" w:rsidRPr="008908E0" w:rsidRDefault="001E4CD4" w:rsidP="001E4CD4">
            <w:pPr>
              <w:pStyle w:val="TableParagraph"/>
              <w:numPr>
                <w:ilvl w:val="0"/>
                <w:numId w:val="4"/>
              </w:numPr>
              <w:tabs>
                <w:tab w:val="left" w:pos="589"/>
                <w:tab w:val="left" w:pos="9639"/>
              </w:tabs>
              <w:spacing w:before="60" w:after="60"/>
              <w:ind w:left="340" w:hanging="340"/>
              <w:jc w:val="both"/>
              <w:rPr>
                <w:rFonts w:ascii="Arial" w:eastAsia="Calibri" w:hAnsi="Arial" w:cs="Arial"/>
                <w:sz w:val="20"/>
                <w:szCs w:val="20"/>
                <w:lang w:val="en-NZ"/>
              </w:rPr>
            </w:pPr>
            <w:r w:rsidRPr="007D4DDF">
              <w:rPr>
                <w:rFonts w:ascii="Arial" w:eastAsia="Calibri" w:hAnsi="Arial" w:cs="Arial"/>
                <w:sz w:val="20"/>
                <w:szCs w:val="20"/>
                <w:lang w:val="en-NZ"/>
              </w:rPr>
              <w:t>Providing</w:t>
            </w:r>
            <w:r w:rsidRPr="008908E0">
              <w:rPr>
                <w:rFonts w:ascii="Arial" w:eastAsia="Calibri" w:hAnsi="Arial" w:cs="Arial"/>
                <w:sz w:val="20"/>
                <w:szCs w:val="20"/>
                <w:lang w:val="en-NZ"/>
              </w:rPr>
              <w:t xml:space="preserve"> capable, insightful and future-focused academic oversight and high-level operational management of the teaching and learning delivery activities within their School, to ensure programmes are delivered to a high quality and meet the needs of </w:t>
            </w:r>
            <w:proofErr w:type="spellStart"/>
            <w:r w:rsidR="004373D4">
              <w:rPr>
                <w:rFonts w:ascii="Arial" w:eastAsia="Calibri" w:hAnsi="Arial" w:cs="Arial"/>
                <w:sz w:val="20"/>
                <w:szCs w:val="20"/>
                <w:lang w:val="en-NZ"/>
              </w:rPr>
              <w:t>ākonga</w:t>
            </w:r>
            <w:proofErr w:type="spellEnd"/>
            <w:r w:rsidRPr="008908E0">
              <w:rPr>
                <w:rFonts w:ascii="Arial" w:eastAsia="Calibri" w:hAnsi="Arial" w:cs="Arial"/>
                <w:sz w:val="20"/>
                <w:szCs w:val="20"/>
                <w:lang w:val="en-NZ"/>
              </w:rPr>
              <w:t xml:space="preserve"> and other key stakeholders.</w:t>
            </w:r>
          </w:p>
          <w:p w14:paraId="37F47C30" w14:textId="77777777" w:rsidR="001E4CD4" w:rsidRPr="008908E0" w:rsidRDefault="001E4CD4" w:rsidP="001E4CD4">
            <w:pPr>
              <w:pStyle w:val="TableParagraph"/>
              <w:numPr>
                <w:ilvl w:val="0"/>
                <w:numId w:val="4"/>
              </w:numPr>
              <w:tabs>
                <w:tab w:val="left" w:pos="589"/>
                <w:tab w:val="left" w:pos="9639"/>
              </w:tabs>
              <w:spacing w:before="60" w:after="60"/>
              <w:ind w:left="340" w:hanging="340"/>
              <w:jc w:val="both"/>
              <w:rPr>
                <w:rFonts w:ascii="Arial" w:eastAsia="Calibri" w:hAnsi="Arial" w:cs="Arial"/>
                <w:sz w:val="20"/>
                <w:szCs w:val="20"/>
                <w:lang w:val="en-NZ"/>
              </w:rPr>
            </w:pPr>
            <w:r w:rsidRPr="008908E0">
              <w:rPr>
                <w:rFonts w:ascii="Arial" w:hAnsi="Arial" w:cs="Arial"/>
                <w:sz w:val="20"/>
                <w:szCs w:val="20"/>
                <w:lang w:val="en-NZ"/>
              </w:rPr>
              <w:t xml:space="preserve">Leading the development and implementation of operational business plans for the </w:t>
            </w:r>
            <w:proofErr w:type="gramStart"/>
            <w:r w:rsidRPr="008908E0">
              <w:rPr>
                <w:rFonts w:ascii="Arial" w:hAnsi="Arial" w:cs="Arial"/>
                <w:sz w:val="20"/>
                <w:szCs w:val="20"/>
                <w:lang w:val="en-NZ"/>
              </w:rPr>
              <w:t>School</w:t>
            </w:r>
            <w:proofErr w:type="gramEnd"/>
            <w:r w:rsidRPr="008908E0">
              <w:rPr>
                <w:rFonts w:ascii="Arial" w:hAnsi="Arial" w:cs="Arial"/>
                <w:sz w:val="20"/>
                <w:szCs w:val="20"/>
                <w:lang w:val="en-NZ"/>
              </w:rPr>
              <w:t xml:space="preserve"> that focus on continuous improvement and evolution of our approaches and offerings, and maximise opportunities for collaboration, cooperation and innovation from the strategic partnership between Whitireia and WelTec.</w:t>
            </w:r>
          </w:p>
          <w:p w14:paraId="394CFF00" w14:textId="5196F065" w:rsidR="001E4CD4" w:rsidRPr="008908E0" w:rsidRDefault="005362F2" w:rsidP="001E4CD4">
            <w:pPr>
              <w:pStyle w:val="TableParagraph"/>
              <w:numPr>
                <w:ilvl w:val="0"/>
                <w:numId w:val="4"/>
              </w:numPr>
              <w:tabs>
                <w:tab w:val="left" w:pos="589"/>
                <w:tab w:val="left" w:pos="9639"/>
              </w:tabs>
              <w:spacing w:before="60" w:after="60"/>
              <w:ind w:left="340" w:hanging="340"/>
              <w:jc w:val="both"/>
              <w:rPr>
                <w:rFonts w:ascii="Arial" w:eastAsia="Calibri" w:hAnsi="Arial" w:cs="Arial"/>
                <w:sz w:val="20"/>
                <w:szCs w:val="20"/>
                <w:lang w:val="en-NZ"/>
              </w:rPr>
            </w:pPr>
            <w:r>
              <w:rPr>
                <w:rFonts w:ascii="Arial" w:hAnsi="Arial" w:cs="Arial"/>
                <w:sz w:val="20"/>
                <w:szCs w:val="20"/>
                <w:lang w:val="en-NZ"/>
              </w:rPr>
              <w:t>D</w:t>
            </w:r>
            <w:r w:rsidR="001E4CD4" w:rsidRPr="008908E0">
              <w:rPr>
                <w:rFonts w:ascii="Arial" w:hAnsi="Arial" w:cs="Arial"/>
                <w:sz w:val="20"/>
                <w:szCs w:val="20"/>
                <w:lang w:val="en-NZ"/>
              </w:rPr>
              <w:t>evelop</w:t>
            </w:r>
            <w:r>
              <w:rPr>
                <w:rFonts w:ascii="Arial" w:hAnsi="Arial" w:cs="Arial"/>
                <w:sz w:val="20"/>
                <w:szCs w:val="20"/>
                <w:lang w:val="en-NZ"/>
              </w:rPr>
              <w:t>ing</w:t>
            </w:r>
            <w:r w:rsidR="001E4CD4" w:rsidRPr="008908E0">
              <w:rPr>
                <w:rFonts w:ascii="Arial" w:hAnsi="Arial" w:cs="Arial"/>
                <w:sz w:val="20"/>
                <w:szCs w:val="20"/>
                <w:lang w:val="en-NZ"/>
              </w:rPr>
              <w:t xml:space="preserve"> and maintain</w:t>
            </w:r>
            <w:r>
              <w:rPr>
                <w:rFonts w:ascii="Arial" w:hAnsi="Arial" w:cs="Arial"/>
                <w:sz w:val="20"/>
                <w:szCs w:val="20"/>
                <w:lang w:val="en-NZ"/>
              </w:rPr>
              <w:t>ing</w:t>
            </w:r>
            <w:r w:rsidR="001E4CD4" w:rsidRPr="008908E0">
              <w:rPr>
                <w:rFonts w:ascii="Arial" w:hAnsi="Arial" w:cs="Arial"/>
                <w:sz w:val="20"/>
                <w:szCs w:val="20"/>
                <w:lang w:val="en-NZ"/>
              </w:rPr>
              <w:t xml:space="preserve"> networks and relationships with our key stakeholders, particularly industry, to maintain and enhance the quality and relevance of our programmes and support strong partnerships that benefit our </w:t>
            </w:r>
            <w:proofErr w:type="spellStart"/>
            <w:r w:rsidR="004373D4">
              <w:rPr>
                <w:rFonts w:ascii="Arial" w:hAnsi="Arial" w:cs="Arial"/>
                <w:sz w:val="20"/>
                <w:szCs w:val="20"/>
                <w:lang w:val="en-NZ"/>
              </w:rPr>
              <w:t>ākonga</w:t>
            </w:r>
            <w:proofErr w:type="spellEnd"/>
            <w:r w:rsidR="001E4CD4" w:rsidRPr="008908E0">
              <w:rPr>
                <w:rFonts w:ascii="Arial" w:hAnsi="Arial" w:cs="Arial"/>
                <w:sz w:val="20"/>
                <w:szCs w:val="20"/>
                <w:lang w:val="en-NZ"/>
              </w:rPr>
              <w:t xml:space="preserve">. </w:t>
            </w:r>
          </w:p>
          <w:p w14:paraId="59DF7A5D" w14:textId="57DCB11B" w:rsidR="001E4CD4" w:rsidRPr="008908E0" w:rsidRDefault="001E4CD4" w:rsidP="001E4CD4">
            <w:pPr>
              <w:pStyle w:val="TableParagraph"/>
              <w:numPr>
                <w:ilvl w:val="0"/>
                <w:numId w:val="4"/>
              </w:numPr>
              <w:tabs>
                <w:tab w:val="left" w:pos="589"/>
                <w:tab w:val="left" w:pos="9639"/>
              </w:tabs>
              <w:spacing w:before="60" w:after="60"/>
              <w:ind w:left="340" w:hanging="340"/>
              <w:jc w:val="both"/>
              <w:rPr>
                <w:rFonts w:ascii="Arial" w:eastAsia="Calibri" w:hAnsi="Arial" w:cs="Arial"/>
                <w:sz w:val="20"/>
                <w:szCs w:val="20"/>
                <w:lang w:val="en-NZ"/>
              </w:rPr>
            </w:pPr>
            <w:r w:rsidRPr="008908E0">
              <w:rPr>
                <w:rFonts w:ascii="Arial" w:hAnsi="Arial" w:cs="Arial"/>
                <w:sz w:val="20"/>
                <w:szCs w:val="20"/>
                <w:lang w:val="en-NZ"/>
              </w:rPr>
              <w:t xml:space="preserve">Working collaboratively </w:t>
            </w:r>
            <w:r w:rsidR="00491F58">
              <w:rPr>
                <w:rFonts w:ascii="Arial" w:hAnsi="Arial" w:cs="Arial"/>
                <w:sz w:val="20"/>
                <w:szCs w:val="20"/>
                <w:lang w:val="en-NZ"/>
              </w:rPr>
              <w:t xml:space="preserve">in the Teaching and Learning </w:t>
            </w:r>
            <w:r w:rsidRPr="008908E0">
              <w:rPr>
                <w:rFonts w:ascii="Arial" w:hAnsi="Arial" w:cs="Arial"/>
                <w:sz w:val="20"/>
                <w:szCs w:val="20"/>
                <w:lang w:val="en-NZ"/>
              </w:rPr>
              <w:t xml:space="preserve">Management team to share information, networks, and ideas to ensure a joint up approach across </w:t>
            </w:r>
            <w:proofErr w:type="gramStart"/>
            <w:r w:rsidRPr="008908E0">
              <w:rPr>
                <w:rFonts w:ascii="Arial" w:hAnsi="Arial" w:cs="Arial"/>
                <w:sz w:val="20"/>
                <w:szCs w:val="20"/>
                <w:lang w:val="en-NZ"/>
              </w:rPr>
              <w:t>all of</w:t>
            </w:r>
            <w:proofErr w:type="gramEnd"/>
            <w:r w:rsidRPr="008908E0">
              <w:rPr>
                <w:rFonts w:ascii="Arial" w:hAnsi="Arial" w:cs="Arial"/>
                <w:sz w:val="20"/>
                <w:szCs w:val="20"/>
                <w:lang w:val="en-NZ"/>
              </w:rPr>
              <w:t xml:space="preserve"> Whitireia and </w:t>
            </w:r>
            <w:proofErr w:type="gramStart"/>
            <w:r w:rsidRPr="008908E0">
              <w:rPr>
                <w:rFonts w:ascii="Arial" w:hAnsi="Arial" w:cs="Arial"/>
                <w:sz w:val="20"/>
                <w:szCs w:val="20"/>
                <w:lang w:val="en-NZ"/>
              </w:rPr>
              <w:t>WelTec, and</w:t>
            </w:r>
            <w:proofErr w:type="gramEnd"/>
            <w:r w:rsidRPr="008908E0">
              <w:rPr>
                <w:rFonts w:ascii="Arial" w:hAnsi="Arial" w:cs="Arial"/>
                <w:sz w:val="20"/>
                <w:szCs w:val="20"/>
                <w:lang w:val="en-NZ"/>
              </w:rPr>
              <w:t xml:space="preserve"> provide support for each other.</w:t>
            </w:r>
          </w:p>
          <w:p w14:paraId="6D663A0B" w14:textId="5CE344AF" w:rsidR="001E4CD4" w:rsidRPr="008908E0" w:rsidRDefault="001E4CD4" w:rsidP="001E4CD4">
            <w:pPr>
              <w:pStyle w:val="TableParagraph"/>
              <w:numPr>
                <w:ilvl w:val="0"/>
                <w:numId w:val="4"/>
              </w:numPr>
              <w:tabs>
                <w:tab w:val="left" w:pos="589"/>
                <w:tab w:val="left" w:pos="9639"/>
              </w:tabs>
              <w:spacing w:before="60" w:after="60"/>
              <w:ind w:left="340" w:hanging="340"/>
              <w:jc w:val="both"/>
              <w:rPr>
                <w:rFonts w:ascii="Arial" w:eastAsia="Calibri" w:hAnsi="Arial" w:cs="Arial"/>
                <w:sz w:val="20"/>
                <w:szCs w:val="20"/>
                <w:lang w:val="en-NZ"/>
              </w:rPr>
            </w:pPr>
            <w:r w:rsidRPr="008908E0">
              <w:rPr>
                <w:rFonts w:ascii="Arial" w:hAnsi="Arial" w:cs="Arial"/>
                <w:sz w:val="20"/>
                <w:szCs w:val="20"/>
                <w:lang w:val="en-NZ"/>
              </w:rPr>
              <w:t xml:space="preserve">Providing accurate, reliable and insightful advice and information for the </w:t>
            </w:r>
            <w:r w:rsidR="00DD2722">
              <w:rPr>
                <w:rFonts w:ascii="Arial" w:hAnsi="Arial" w:cs="Arial"/>
                <w:sz w:val="20"/>
                <w:szCs w:val="20"/>
                <w:lang w:val="en-NZ"/>
              </w:rPr>
              <w:t>executive leadership and the Board/</w:t>
            </w:r>
            <w:r w:rsidRPr="008908E0">
              <w:rPr>
                <w:rFonts w:ascii="Arial" w:hAnsi="Arial" w:cs="Arial"/>
                <w:sz w:val="20"/>
                <w:szCs w:val="20"/>
                <w:lang w:val="en-NZ"/>
              </w:rPr>
              <w:t>Council as necessary, to support good decision making.</w:t>
            </w:r>
          </w:p>
          <w:p w14:paraId="05CDA64B" w14:textId="488314A2" w:rsidR="001E4CD4" w:rsidRPr="008908E0" w:rsidRDefault="00972A64" w:rsidP="001E4CD4">
            <w:pPr>
              <w:pStyle w:val="TableParagraph"/>
              <w:numPr>
                <w:ilvl w:val="0"/>
                <w:numId w:val="4"/>
              </w:numPr>
              <w:tabs>
                <w:tab w:val="left" w:pos="589"/>
                <w:tab w:val="left" w:pos="9639"/>
              </w:tabs>
              <w:spacing w:before="60" w:after="60"/>
              <w:ind w:left="340" w:hanging="340"/>
              <w:jc w:val="both"/>
              <w:rPr>
                <w:rFonts w:ascii="Arial" w:eastAsia="Calibri" w:hAnsi="Arial" w:cs="Arial"/>
                <w:sz w:val="20"/>
                <w:szCs w:val="20"/>
                <w:lang w:val="en-NZ"/>
              </w:rPr>
            </w:pPr>
            <w:r>
              <w:rPr>
                <w:rFonts w:ascii="Arial" w:hAnsi="Arial" w:cs="Arial"/>
                <w:sz w:val="20"/>
                <w:szCs w:val="20"/>
                <w:lang w:val="en-NZ"/>
              </w:rPr>
              <w:t>Developing</w:t>
            </w:r>
            <w:r w:rsidR="001E4CD4" w:rsidRPr="008908E0">
              <w:rPr>
                <w:rFonts w:ascii="Arial" w:hAnsi="Arial" w:cs="Arial"/>
                <w:sz w:val="20"/>
                <w:szCs w:val="20"/>
                <w:lang w:val="en-NZ"/>
              </w:rPr>
              <w:t xml:space="preserve"> annual budgets, and provide day to day oversight</w:t>
            </w:r>
            <w:r w:rsidR="00DB4367">
              <w:rPr>
                <w:rFonts w:ascii="Arial" w:hAnsi="Arial" w:cs="Arial"/>
                <w:sz w:val="20"/>
                <w:szCs w:val="20"/>
                <w:lang w:val="en-NZ"/>
              </w:rPr>
              <w:t>, accountability</w:t>
            </w:r>
            <w:r w:rsidR="001E4CD4" w:rsidRPr="008908E0">
              <w:rPr>
                <w:rFonts w:ascii="Arial" w:hAnsi="Arial" w:cs="Arial"/>
                <w:sz w:val="20"/>
                <w:szCs w:val="20"/>
                <w:lang w:val="en-NZ"/>
              </w:rPr>
              <w:t xml:space="preserve"> and management of the </w:t>
            </w:r>
            <w:proofErr w:type="gramStart"/>
            <w:r w:rsidR="001E4CD4" w:rsidRPr="008908E0">
              <w:rPr>
                <w:rFonts w:ascii="Arial" w:hAnsi="Arial" w:cs="Arial"/>
                <w:sz w:val="20"/>
                <w:szCs w:val="20"/>
                <w:lang w:val="en-NZ"/>
              </w:rPr>
              <w:t>School</w:t>
            </w:r>
            <w:proofErr w:type="gramEnd"/>
            <w:r w:rsidR="001E4CD4" w:rsidRPr="008908E0">
              <w:rPr>
                <w:rFonts w:ascii="Arial" w:hAnsi="Arial" w:cs="Arial"/>
                <w:sz w:val="20"/>
                <w:szCs w:val="20"/>
                <w:lang w:val="en-NZ"/>
              </w:rPr>
              <w:t xml:space="preserve"> budgets</w:t>
            </w:r>
            <w:r w:rsidR="00DB4367">
              <w:rPr>
                <w:rFonts w:ascii="Arial" w:hAnsi="Arial" w:cs="Arial"/>
                <w:sz w:val="20"/>
                <w:szCs w:val="20"/>
                <w:lang w:val="en-NZ"/>
              </w:rPr>
              <w:t>, including actively engaging in reforecasting and variance processes</w:t>
            </w:r>
            <w:r w:rsidR="001E4CD4" w:rsidRPr="008908E0">
              <w:rPr>
                <w:rFonts w:ascii="Arial" w:hAnsi="Arial" w:cs="Arial"/>
                <w:sz w:val="20"/>
                <w:szCs w:val="20"/>
                <w:lang w:val="en-NZ"/>
              </w:rPr>
              <w:t>.</w:t>
            </w:r>
          </w:p>
          <w:p w14:paraId="3D714D1C" w14:textId="7AD165BA" w:rsidR="001E4CD4" w:rsidRPr="008908E0" w:rsidRDefault="001E4CD4" w:rsidP="001E4CD4">
            <w:pPr>
              <w:pStyle w:val="TableParagraph"/>
              <w:numPr>
                <w:ilvl w:val="0"/>
                <w:numId w:val="4"/>
              </w:numPr>
              <w:tabs>
                <w:tab w:val="left" w:pos="589"/>
                <w:tab w:val="left" w:pos="9639"/>
              </w:tabs>
              <w:spacing w:before="60" w:after="60"/>
              <w:ind w:left="340" w:hanging="340"/>
              <w:jc w:val="both"/>
              <w:rPr>
                <w:rFonts w:ascii="Calibri" w:eastAsia="Calibri" w:hAnsi="Calibri" w:cs="Calibri"/>
                <w:lang w:val="en-NZ"/>
              </w:rPr>
            </w:pPr>
            <w:r w:rsidRPr="008908E0">
              <w:rPr>
                <w:rFonts w:ascii="Arial" w:eastAsia="Calibri" w:hAnsi="Arial" w:cs="Arial"/>
                <w:sz w:val="20"/>
                <w:szCs w:val="20"/>
                <w:lang w:val="en-NZ"/>
              </w:rPr>
              <w:t>Provide accurate, reliable and timely reports and other business-related information as required.</w:t>
            </w:r>
          </w:p>
        </w:tc>
      </w:tr>
      <w:tr w:rsidR="001E4CD4" w:rsidRPr="008908E0" w14:paraId="008595F9" w14:textId="77777777" w:rsidTr="001E4CD4">
        <w:tc>
          <w:tcPr>
            <w:tcW w:w="5000" w:type="pct"/>
            <w:tcBorders>
              <w:top w:val="single" w:sz="4" w:space="0" w:color="auto"/>
              <w:left w:val="nil"/>
              <w:bottom w:val="single" w:sz="4" w:space="0" w:color="auto"/>
              <w:right w:val="nil"/>
            </w:tcBorders>
            <w:shd w:val="clear" w:color="auto" w:fill="FFFFFF" w:themeFill="background1"/>
          </w:tcPr>
          <w:p w14:paraId="4CE3CC22" w14:textId="77777777" w:rsidR="001E4CD4" w:rsidRPr="008908E0" w:rsidRDefault="001E4CD4" w:rsidP="001E4CD4">
            <w:pPr>
              <w:spacing w:before="60" w:after="60"/>
              <w:ind w:left="340" w:hanging="340"/>
              <w:rPr>
                <w:b/>
                <w:sz w:val="20"/>
                <w:szCs w:val="20"/>
                <w:lang w:val="en-NZ"/>
              </w:rPr>
            </w:pPr>
            <w:r>
              <w:rPr>
                <w:b/>
                <w:sz w:val="20"/>
                <w:szCs w:val="20"/>
                <w:lang w:val="en-NZ"/>
              </w:rPr>
              <w:t>Health and Safety</w:t>
            </w:r>
          </w:p>
          <w:p w14:paraId="5A1B2425" w14:textId="77777777" w:rsidR="001E4CD4" w:rsidRPr="008908E0" w:rsidRDefault="001E4CD4" w:rsidP="001E4CD4">
            <w:pPr>
              <w:numPr>
                <w:ilvl w:val="0"/>
                <w:numId w:val="1"/>
              </w:numPr>
              <w:suppressAutoHyphens/>
              <w:spacing w:before="60" w:after="60"/>
              <w:ind w:left="340" w:hanging="340"/>
              <w:rPr>
                <w:sz w:val="20"/>
                <w:szCs w:val="20"/>
                <w:lang w:val="en-NZ"/>
              </w:rPr>
            </w:pPr>
            <w:r w:rsidRPr="008908E0">
              <w:rPr>
                <w:sz w:val="20"/>
                <w:szCs w:val="20"/>
                <w:lang w:val="en-NZ"/>
              </w:rPr>
              <w:t xml:space="preserve">Maintain knowledge of Health and Safety </w:t>
            </w:r>
            <w:proofErr w:type="gramStart"/>
            <w:r w:rsidRPr="008908E0">
              <w:rPr>
                <w:sz w:val="20"/>
                <w:szCs w:val="20"/>
                <w:lang w:val="en-NZ"/>
              </w:rPr>
              <w:t>procedures, and</w:t>
            </w:r>
            <w:proofErr w:type="gramEnd"/>
            <w:r w:rsidRPr="008908E0">
              <w:rPr>
                <w:sz w:val="20"/>
                <w:szCs w:val="20"/>
                <w:lang w:val="en-NZ"/>
              </w:rPr>
              <w:t xml:space="preserve"> actively support safe work practices in your work area.</w:t>
            </w:r>
          </w:p>
          <w:p w14:paraId="5E467994" w14:textId="77777777" w:rsidR="001E4CD4" w:rsidRPr="008908E0" w:rsidRDefault="001E4CD4" w:rsidP="001E4CD4">
            <w:pPr>
              <w:numPr>
                <w:ilvl w:val="0"/>
                <w:numId w:val="1"/>
              </w:numPr>
              <w:suppressAutoHyphens/>
              <w:spacing w:before="60" w:after="60"/>
              <w:ind w:left="340" w:hanging="340"/>
              <w:rPr>
                <w:sz w:val="20"/>
                <w:szCs w:val="20"/>
                <w:lang w:val="en-NZ"/>
              </w:rPr>
            </w:pPr>
            <w:r w:rsidRPr="008908E0">
              <w:rPr>
                <w:sz w:val="20"/>
                <w:szCs w:val="20"/>
                <w:lang w:val="en-NZ"/>
              </w:rPr>
              <w:t>Take all practicable steps to ensure you don’t harm yourself or anyone else.</w:t>
            </w:r>
          </w:p>
          <w:p w14:paraId="50B3104F" w14:textId="77777777" w:rsidR="001E4CD4" w:rsidRPr="008908E0" w:rsidRDefault="001E4CD4" w:rsidP="001E4CD4">
            <w:pPr>
              <w:numPr>
                <w:ilvl w:val="0"/>
                <w:numId w:val="1"/>
              </w:numPr>
              <w:suppressAutoHyphens/>
              <w:spacing w:before="60" w:after="60"/>
              <w:ind w:left="340" w:hanging="340"/>
              <w:rPr>
                <w:sz w:val="20"/>
                <w:szCs w:val="20"/>
                <w:lang w:val="en-NZ"/>
              </w:rPr>
            </w:pPr>
            <w:r w:rsidRPr="008908E0">
              <w:rPr>
                <w:sz w:val="20"/>
                <w:szCs w:val="20"/>
                <w:lang w:val="en-NZ"/>
              </w:rPr>
              <w:t xml:space="preserve">Comply with health and safety procedures as outlined in </w:t>
            </w:r>
            <w:proofErr w:type="spellStart"/>
            <w:r w:rsidRPr="008908E0">
              <w:rPr>
                <w:sz w:val="20"/>
                <w:szCs w:val="20"/>
                <w:lang w:val="en-NZ"/>
              </w:rPr>
              <w:t>Taikura</w:t>
            </w:r>
            <w:proofErr w:type="spellEnd"/>
            <w:r w:rsidRPr="008908E0">
              <w:rPr>
                <w:sz w:val="20"/>
                <w:szCs w:val="20"/>
                <w:lang w:val="en-NZ"/>
              </w:rPr>
              <w:t xml:space="preserve">, </w:t>
            </w:r>
            <w:proofErr w:type="gramStart"/>
            <w:r w:rsidRPr="008908E0">
              <w:rPr>
                <w:sz w:val="20"/>
                <w:szCs w:val="20"/>
                <w:lang w:val="en-NZ"/>
              </w:rPr>
              <w:t>in particular reporting</w:t>
            </w:r>
            <w:proofErr w:type="gramEnd"/>
            <w:r w:rsidRPr="008908E0">
              <w:rPr>
                <w:sz w:val="20"/>
                <w:szCs w:val="20"/>
                <w:lang w:val="en-NZ"/>
              </w:rPr>
              <w:t xml:space="preserve"> all incidents and proactively identify hazards and support their management.</w:t>
            </w:r>
          </w:p>
        </w:tc>
      </w:tr>
      <w:tr w:rsidR="001E4CD4" w:rsidRPr="008908E0" w14:paraId="3E3433CA" w14:textId="77777777" w:rsidTr="001E4CD4">
        <w:tc>
          <w:tcPr>
            <w:tcW w:w="5000" w:type="pct"/>
            <w:tcBorders>
              <w:top w:val="single" w:sz="4" w:space="0" w:color="auto"/>
              <w:left w:val="nil"/>
              <w:bottom w:val="nil"/>
              <w:right w:val="nil"/>
            </w:tcBorders>
            <w:shd w:val="clear" w:color="auto" w:fill="FFFFFF" w:themeFill="background1"/>
          </w:tcPr>
          <w:p w14:paraId="1FD71AD2" w14:textId="77777777" w:rsidR="001E4CD4" w:rsidRPr="008908E0" w:rsidRDefault="001E4CD4" w:rsidP="001E4CD4">
            <w:pPr>
              <w:spacing w:before="60" w:after="60"/>
              <w:ind w:left="340" w:hanging="340"/>
              <w:rPr>
                <w:b/>
                <w:sz w:val="20"/>
                <w:szCs w:val="20"/>
                <w:lang w:val="en-NZ"/>
              </w:rPr>
            </w:pPr>
            <w:r w:rsidRPr="008908E0">
              <w:rPr>
                <w:b/>
                <w:sz w:val="20"/>
                <w:szCs w:val="20"/>
                <w:lang w:val="en-NZ"/>
              </w:rPr>
              <w:t>Culture</w:t>
            </w:r>
          </w:p>
          <w:p w14:paraId="1A2CA7F5" w14:textId="77777777" w:rsidR="001E4CD4" w:rsidRPr="008908E0" w:rsidRDefault="001E4CD4" w:rsidP="001E4CD4">
            <w:pPr>
              <w:numPr>
                <w:ilvl w:val="0"/>
                <w:numId w:val="1"/>
              </w:numPr>
              <w:suppressAutoHyphens/>
              <w:spacing w:before="60" w:after="60"/>
              <w:ind w:left="340" w:hanging="340"/>
              <w:rPr>
                <w:sz w:val="20"/>
                <w:szCs w:val="20"/>
                <w:lang w:val="en-NZ"/>
              </w:rPr>
            </w:pPr>
            <w:r w:rsidRPr="008908E0">
              <w:rPr>
                <w:sz w:val="20"/>
                <w:szCs w:val="20"/>
                <w:lang w:val="en-NZ"/>
              </w:rPr>
              <w:t xml:space="preserve">Support and maintain a culturally safe environment and recognise the role of the Treaty of Waitangi (Te </w:t>
            </w:r>
            <w:proofErr w:type="spellStart"/>
            <w:r w:rsidRPr="008908E0">
              <w:rPr>
                <w:sz w:val="20"/>
                <w:szCs w:val="20"/>
                <w:lang w:val="en-NZ"/>
              </w:rPr>
              <w:t>Tiriti</w:t>
            </w:r>
            <w:proofErr w:type="spellEnd"/>
            <w:r w:rsidRPr="008908E0">
              <w:rPr>
                <w:sz w:val="20"/>
                <w:szCs w:val="20"/>
                <w:lang w:val="en-NZ"/>
              </w:rPr>
              <w:t xml:space="preserve"> o Waitangi) in providing a framework for this in Aotearoa/New Zealand.</w:t>
            </w:r>
          </w:p>
        </w:tc>
      </w:tr>
    </w:tbl>
    <w:p w14:paraId="73B39D0A" w14:textId="77777777" w:rsidR="001E4CD4" w:rsidRDefault="001E4CD4" w:rsidP="001E4CD4">
      <w:pPr>
        <w:ind w:left="0"/>
      </w:pPr>
    </w:p>
    <w:p w14:paraId="4C9C8A42" w14:textId="77777777" w:rsidR="001E4CD4" w:rsidRDefault="001E4CD4" w:rsidP="001E4CD4">
      <w:pPr>
        <w:ind w:left="0"/>
      </w:pPr>
    </w:p>
    <w:tbl>
      <w:tblPr>
        <w:tblStyle w:val="TableGrid"/>
        <w:tblW w:w="5000" w:type="pct"/>
        <w:tblLook w:val="04A0" w:firstRow="1" w:lastRow="0" w:firstColumn="1" w:lastColumn="0" w:noHBand="0" w:noVBand="1"/>
      </w:tblPr>
      <w:tblGrid>
        <w:gridCol w:w="2273"/>
        <w:gridCol w:w="6753"/>
      </w:tblGrid>
      <w:tr w:rsidR="001E4CD4" w:rsidRPr="008908E0" w14:paraId="02AB9691" w14:textId="77777777" w:rsidTr="001E4CD4">
        <w:tc>
          <w:tcPr>
            <w:tcW w:w="5000" w:type="pct"/>
            <w:gridSpan w:val="2"/>
            <w:tcBorders>
              <w:top w:val="single" w:sz="4" w:space="0" w:color="auto"/>
              <w:left w:val="nil"/>
              <w:bottom w:val="single" w:sz="4" w:space="0" w:color="auto"/>
              <w:right w:val="nil"/>
            </w:tcBorders>
            <w:shd w:val="clear" w:color="auto" w:fill="F2F2F2" w:themeFill="background1" w:themeFillShade="F2"/>
            <w:vAlign w:val="center"/>
            <w:hideMark/>
          </w:tcPr>
          <w:p w14:paraId="2C70E91C" w14:textId="77777777" w:rsidR="001E4CD4" w:rsidRPr="008908E0" w:rsidRDefault="001E4CD4" w:rsidP="001E4CD4">
            <w:pPr>
              <w:spacing w:before="60" w:after="60"/>
              <w:ind w:left="340" w:hanging="340"/>
              <w:rPr>
                <w:b/>
                <w:sz w:val="20"/>
                <w:lang w:val="en-NZ"/>
              </w:rPr>
            </w:pPr>
            <w:r w:rsidRPr="008908E0">
              <w:rPr>
                <w:b/>
                <w:sz w:val="20"/>
                <w:lang w:val="en-NZ"/>
              </w:rPr>
              <w:t xml:space="preserve">Position Dimensions </w:t>
            </w:r>
          </w:p>
        </w:tc>
      </w:tr>
      <w:tr w:rsidR="001E4CD4" w:rsidRPr="008908E0" w14:paraId="03108814" w14:textId="77777777" w:rsidTr="001E4CD4">
        <w:tc>
          <w:tcPr>
            <w:tcW w:w="1259" w:type="pct"/>
            <w:tcBorders>
              <w:top w:val="single" w:sz="4" w:space="0" w:color="auto"/>
              <w:left w:val="nil"/>
              <w:bottom w:val="single" w:sz="4" w:space="0" w:color="auto"/>
              <w:right w:val="nil"/>
            </w:tcBorders>
            <w:shd w:val="clear" w:color="auto" w:fill="FFFFFF" w:themeFill="background1"/>
            <w:vAlign w:val="center"/>
            <w:hideMark/>
          </w:tcPr>
          <w:p w14:paraId="0BBBDF6B" w14:textId="77777777" w:rsidR="001E4CD4" w:rsidRPr="008908E0" w:rsidRDefault="001E4CD4" w:rsidP="001E4CD4">
            <w:pPr>
              <w:spacing w:before="60" w:after="60"/>
              <w:ind w:left="340" w:hanging="340"/>
              <w:rPr>
                <w:sz w:val="20"/>
                <w:lang w:val="en-NZ"/>
              </w:rPr>
            </w:pPr>
            <w:r w:rsidRPr="008908E0">
              <w:rPr>
                <w:sz w:val="20"/>
                <w:lang w:val="en-NZ"/>
              </w:rPr>
              <w:lastRenderedPageBreak/>
              <w:t>Financial delegations</w:t>
            </w:r>
          </w:p>
        </w:tc>
        <w:tc>
          <w:tcPr>
            <w:tcW w:w="3741" w:type="pct"/>
            <w:tcBorders>
              <w:top w:val="single" w:sz="4" w:space="0" w:color="auto"/>
              <w:left w:val="nil"/>
              <w:bottom w:val="single" w:sz="4" w:space="0" w:color="auto"/>
              <w:right w:val="nil"/>
            </w:tcBorders>
            <w:shd w:val="clear" w:color="auto" w:fill="FFFFFF" w:themeFill="background1"/>
            <w:vAlign w:val="center"/>
            <w:hideMark/>
          </w:tcPr>
          <w:p w14:paraId="4176BBD4" w14:textId="3641C4DD" w:rsidR="001E4CD4" w:rsidRPr="00006AAD" w:rsidRDefault="004373D4" w:rsidP="001E4CD4">
            <w:pPr>
              <w:spacing w:before="60" w:after="60"/>
              <w:ind w:left="340" w:hanging="340"/>
              <w:rPr>
                <w:rFonts w:asciiTheme="minorHAnsi" w:hAnsiTheme="minorHAnsi" w:cstheme="minorBidi"/>
                <w:sz w:val="20"/>
                <w:szCs w:val="20"/>
                <w:lang w:val="en-NZ"/>
              </w:rPr>
            </w:pPr>
            <w:r w:rsidRPr="00006AAD">
              <w:rPr>
                <w:sz w:val="20"/>
                <w:szCs w:val="20"/>
                <w:lang w:val="en-NZ"/>
              </w:rPr>
              <w:t>Senior Manager – Level 3</w:t>
            </w:r>
          </w:p>
        </w:tc>
      </w:tr>
      <w:tr w:rsidR="001E4CD4" w:rsidRPr="008908E0" w14:paraId="0C1C1E89" w14:textId="77777777" w:rsidTr="001E4CD4">
        <w:tc>
          <w:tcPr>
            <w:tcW w:w="1259" w:type="pct"/>
            <w:tcBorders>
              <w:top w:val="single" w:sz="4" w:space="0" w:color="auto"/>
              <w:left w:val="nil"/>
              <w:bottom w:val="single" w:sz="4" w:space="0" w:color="auto"/>
              <w:right w:val="nil"/>
            </w:tcBorders>
            <w:shd w:val="clear" w:color="auto" w:fill="FFFFFF" w:themeFill="background1"/>
            <w:vAlign w:val="center"/>
            <w:hideMark/>
          </w:tcPr>
          <w:p w14:paraId="2C412A2E" w14:textId="77777777" w:rsidR="001E4CD4" w:rsidRPr="008908E0" w:rsidRDefault="001E4CD4" w:rsidP="001E4CD4">
            <w:pPr>
              <w:spacing w:before="60" w:after="60"/>
              <w:ind w:left="340" w:hanging="340"/>
              <w:rPr>
                <w:sz w:val="20"/>
                <w:lang w:val="en-NZ"/>
              </w:rPr>
            </w:pPr>
            <w:r w:rsidRPr="008908E0">
              <w:rPr>
                <w:sz w:val="20"/>
                <w:lang w:val="en-NZ"/>
              </w:rPr>
              <w:t>HR delegations</w:t>
            </w:r>
          </w:p>
        </w:tc>
        <w:tc>
          <w:tcPr>
            <w:tcW w:w="3741" w:type="pct"/>
            <w:tcBorders>
              <w:top w:val="single" w:sz="4" w:space="0" w:color="auto"/>
              <w:left w:val="nil"/>
              <w:bottom w:val="single" w:sz="4" w:space="0" w:color="auto"/>
              <w:right w:val="nil"/>
            </w:tcBorders>
            <w:shd w:val="clear" w:color="auto" w:fill="FFFFFF" w:themeFill="background1"/>
            <w:vAlign w:val="center"/>
            <w:hideMark/>
          </w:tcPr>
          <w:p w14:paraId="5AFBE20E" w14:textId="1493D96E" w:rsidR="001E4CD4" w:rsidRPr="00006AAD" w:rsidRDefault="004373D4" w:rsidP="001E4CD4">
            <w:pPr>
              <w:spacing w:before="60" w:after="60"/>
              <w:ind w:left="340" w:hanging="340"/>
              <w:rPr>
                <w:sz w:val="20"/>
                <w:lang w:val="en-NZ"/>
              </w:rPr>
            </w:pPr>
            <w:r w:rsidRPr="00006AAD">
              <w:rPr>
                <w:sz w:val="20"/>
                <w:lang w:val="en-NZ"/>
              </w:rPr>
              <w:t>Senior Manager – Level 3</w:t>
            </w:r>
          </w:p>
        </w:tc>
      </w:tr>
      <w:tr w:rsidR="001E4CD4" w:rsidRPr="008908E0" w14:paraId="473743E1" w14:textId="77777777" w:rsidTr="001E4CD4">
        <w:tc>
          <w:tcPr>
            <w:tcW w:w="1259" w:type="pct"/>
            <w:tcBorders>
              <w:top w:val="single" w:sz="4" w:space="0" w:color="auto"/>
              <w:left w:val="nil"/>
              <w:bottom w:val="single" w:sz="4" w:space="0" w:color="auto"/>
              <w:right w:val="nil"/>
            </w:tcBorders>
            <w:shd w:val="clear" w:color="auto" w:fill="FFFFFF" w:themeFill="background1"/>
            <w:vAlign w:val="center"/>
            <w:hideMark/>
          </w:tcPr>
          <w:p w14:paraId="2DCC3361" w14:textId="77777777" w:rsidR="001E4CD4" w:rsidRPr="008908E0" w:rsidRDefault="001E4CD4" w:rsidP="001E4CD4">
            <w:pPr>
              <w:spacing w:before="60" w:after="60"/>
              <w:ind w:left="340" w:hanging="340"/>
              <w:rPr>
                <w:sz w:val="20"/>
                <w:lang w:val="en-NZ"/>
              </w:rPr>
            </w:pPr>
            <w:r w:rsidRPr="008908E0">
              <w:rPr>
                <w:sz w:val="20"/>
                <w:lang w:val="en-NZ"/>
              </w:rPr>
              <w:t>Direct Reports</w:t>
            </w:r>
          </w:p>
        </w:tc>
        <w:tc>
          <w:tcPr>
            <w:tcW w:w="3741" w:type="pct"/>
            <w:tcBorders>
              <w:top w:val="single" w:sz="4" w:space="0" w:color="auto"/>
              <w:left w:val="nil"/>
              <w:bottom w:val="single" w:sz="4" w:space="0" w:color="auto"/>
              <w:right w:val="nil"/>
            </w:tcBorders>
            <w:shd w:val="clear" w:color="auto" w:fill="FFFFFF" w:themeFill="background1"/>
            <w:vAlign w:val="center"/>
            <w:hideMark/>
          </w:tcPr>
          <w:p w14:paraId="0DDBE044" w14:textId="6622674D" w:rsidR="001E4CD4" w:rsidRPr="00006AAD" w:rsidRDefault="004373D4" w:rsidP="001E4CD4">
            <w:pPr>
              <w:spacing w:before="60" w:after="60"/>
              <w:ind w:left="340" w:hanging="340"/>
              <w:rPr>
                <w:sz w:val="20"/>
                <w:lang w:val="en-NZ"/>
              </w:rPr>
            </w:pPr>
            <w:r w:rsidRPr="00006AAD">
              <w:rPr>
                <w:sz w:val="20"/>
                <w:lang w:val="en-NZ"/>
              </w:rPr>
              <w:t>Programme Managers, Operations Manager, Technical Services Manager</w:t>
            </w:r>
          </w:p>
        </w:tc>
      </w:tr>
      <w:tr w:rsidR="001E4CD4" w:rsidRPr="008908E0" w14:paraId="0844437E" w14:textId="77777777" w:rsidTr="001E4CD4">
        <w:tc>
          <w:tcPr>
            <w:tcW w:w="1259" w:type="pct"/>
            <w:tcBorders>
              <w:top w:val="single" w:sz="4" w:space="0" w:color="auto"/>
              <w:left w:val="nil"/>
              <w:bottom w:val="single" w:sz="4" w:space="0" w:color="auto"/>
              <w:right w:val="nil"/>
            </w:tcBorders>
            <w:shd w:val="clear" w:color="auto" w:fill="FFFFFF" w:themeFill="background1"/>
            <w:vAlign w:val="center"/>
            <w:hideMark/>
          </w:tcPr>
          <w:p w14:paraId="2E33EAE7" w14:textId="77777777" w:rsidR="001E4CD4" w:rsidRPr="008908E0" w:rsidRDefault="001E4CD4" w:rsidP="004373D4">
            <w:pPr>
              <w:spacing w:before="60" w:after="60"/>
              <w:ind w:left="37"/>
              <w:jc w:val="left"/>
              <w:rPr>
                <w:sz w:val="20"/>
                <w:lang w:val="en-NZ"/>
              </w:rPr>
            </w:pPr>
            <w:r w:rsidRPr="008908E0">
              <w:rPr>
                <w:sz w:val="20"/>
                <w:lang w:val="en-NZ"/>
              </w:rPr>
              <w:t>Key Internal Relationship</w:t>
            </w:r>
          </w:p>
        </w:tc>
        <w:tc>
          <w:tcPr>
            <w:tcW w:w="3741" w:type="pct"/>
            <w:tcBorders>
              <w:top w:val="single" w:sz="4" w:space="0" w:color="auto"/>
              <w:left w:val="nil"/>
              <w:bottom w:val="single" w:sz="4" w:space="0" w:color="auto"/>
              <w:right w:val="nil"/>
            </w:tcBorders>
            <w:shd w:val="clear" w:color="auto" w:fill="FFFFFF" w:themeFill="background1"/>
            <w:vAlign w:val="center"/>
            <w:hideMark/>
          </w:tcPr>
          <w:p w14:paraId="18C7636E" w14:textId="1995727A" w:rsidR="001E4CD4" w:rsidRPr="008908E0" w:rsidRDefault="00007FCF" w:rsidP="001E4CD4">
            <w:pPr>
              <w:pStyle w:val="ListParagraph"/>
              <w:numPr>
                <w:ilvl w:val="0"/>
                <w:numId w:val="3"/>
              </w:numPr>
              <w:spacing w:before="60" w:after="60"/>
              <w:ind w:left="340" w:hanging="340"/>
              <w:rPr>
                <w:sz w:val="20"/>
                <w:lang w:val="en-NZ"/>
              </w:rPr>
            </w:pPr>
            <w:r>
              <w:rPr>
                <w:sz w:val="20"/>
                <w:lang w:val="en-NZ"/>
              </w:rPr>
              <w:t>Operations Lead/</w:t>
            </w:r>
            <w:r w:rsidR="001E4CD4" w:rsidRPr="008908E0">
              <w:rPr>
                <w:sz w:val="20"/>
                <w:lang w:val="en-NZ"/>
              </w:rPr>
              <w:t>Chief Executive</w:t>
            </w:r>
          </w:p>
          <w:p w14:paraId="343E3FB0" w14:textId="15E29D6E" w:rsidR="001E4CD4" w:rsidRPr="008908E0" w:rsidRDefault="005A2CF7" w:rsidP="001E4CD4">
            <w:pPr>
              <w:pStyle w:val="ListParagraph"/>
              <w:numPr>
                <w:ilvl w:val="0"/>
                <w:numId w:val="3"/>
              </w:numPr>
              <w:spacing w:before="60" w:after="60"/>
              <w:ind w:left="340" w:hanging="340"/>
              <w:rPr>
                <w:sz w:val="20"/>
                <w:lang w:val="en-NZ"/>
              </w:rPr>
            </w:pPr>
            <w:r>
              <w:rPr>
                <w:sz w:val="20"/>
                <w:lang w:val="en-NZ"/>
              </w:rPr>
              <w:t xml:space="preserve">Teaching </w:t>
            </w:r>
            <w:r w:rsidR="002E48D8">
              <w:rPr>
                <w:sz w:val="20"/>
                <w:lang w:val="en-NZ"/>
              </w:rPr>
              <w:t>and</w:t>
            </w:r>
            <w:r>
              <w:rPr>
                <w:sz w:val="20"/>
                <w:lang w:val="en-NZ"/>
              </w:rPr>
              <w:t xml:space="preserve"> Learning</w:t>
            </w:r>
            <w:r w:rsidR="00B20846">
              <w:rPr>
                <w:sz w:val="20"/>
                <w:lang w:val="en-NZ"/>
              </w:rPr>
              <w:t xml:space="preserve"> </w:t>
            </w:r>
            <w:r w:rsidR="002E48D8">
              <w:rPr>
                <w:sz w:val="20"/>
                <w:lang w:val="en-NZ"/>
              </w:rPr>
              <w:t>Management</w:t>
            </w:r>
            <w:r w:rsidR="001E4CD4" w:rsidRPr="008908E0">
              <w:rPr>
                <w:sz w:val="20"/>
                <w:lang w:val="en-NZ"/>
              </w:rPr>
              <w:t xml:space="preserve"> Team </w:t>
            </w:r>
          </w:p>
          <w:p w14:paraId="531E1CC7" w14:textId="6AECA663" w:rsidR="001E4CD4" w:rsidRPr="008908E0" w:rsidRDefault="00356546" w:rsidP="001E4CD4">
            <w:pPr>
              <w:pStyle w:val="ListParagraph"/>
              <w:numPr>
                <w:ilvl w:val="0"/>
                <w:numId w:val="3"/>
              </w:numPr>
              <w:spacing w:before="60" w:after="60"/>
              <w:ind w:left="340" w:hanging="340"/>
              <w:rPr>
                <w:sz w:val="20"/>
                <w:lang w:val="en-NZ"/>
              </w:rPr>
            </w:pPr>
            <w:r>
              <w:rPr>
                <w:sz w:val="20"/>
                <w:lang w:val="en-NZ"/>
              </w:rPr>
              <w:t>Executive</w:t>
            </w:r>
            <w:r w:rsidR="001E4CD4" w:rsidRPr="008908E0">
              <w:rPr>
                <w:sz w:val="20"/>
                <w:lang w:val="en-NZ"/>
              </w:rPr>
              <w:t xml:space="preserve"> </w:t>
            </w:r>
            <w:r>
              <w:rPr>
                <w:sz w:val="20"/>
                <w:lang w:val="en-NZ"/>
              </w:rPr>
              <w:t>leadership</w:t>
            </w:r>
            <w:r w:rsidR="001E4CD4" w:rsidRPr="008908E0">
              <w:rPr>
                <w:sz w:val="20"/>
                <w:lang w:val="en-NZ"/>
              </w:rPr>
              <w:t xml:space="preserve"> </w:t>
            </w:r>
          </w:p>
          <w:p w14:paraId="4542CFF7" w14:textId="5759FB6D" w:rsidR="001E4CD4" w:rsidRPr="008908E0" w:rsidRDefault="001E4CD4" w:rsidP="001E4CD4">
            <w:pPr>
              <w:pStyle w:val="ListParagraph"/>
              <w:numPr>
                <w:ilvl w:val="0"/>
                <w:numId w:val="3"/>
              </w:numPr>
              <w:spacing w:before="60" w:after="60"/>
              <w:ind w:left="340" w:hanging="340"/>
              <w:rPr>
                <w:sz w:val="20"/>
                <w:lang w:val="en-NZ"/>
              </w:rPr>
            </w:pPr>
            <w:r w:rsidRPr="008908E0">
              <w:rPr>
                <w:sz w:val="20"/>
                <w:lang w:val="en-NZ"/>
              </w:rPr>
              <w:t xml:space="preserve">Managers and </w:t>
            </w:r>
            <w:proofErr w:type="spellStart"/>
            <w:r w:rsidR="004373D4">
              <w:rPr>
                <w:sz w:val="20"/>
                <w:lang w:val="en-NZ"/>
              </w:rPr>
              <w:t>kaimahi</w:t>
            </w:r>
            <w:proofErr w:type="spellEnd"/>
            <w:r w:rsidRPr="008908E0">
              <w:rPr>
                <w:sz w:val="20"/>
                <w:lang w:val="en-NZ"/>
              </w:rPr>
              <w:t xml:space="preserve"> across Whitireia</w:t>
            </w:r>
            <w:r w:rsidR="005A2CF7">
              <w:rPr>
                <w:sz w:val="20"/>
                <w:lang w:val="en-NZ"/>
              </w:rPr>
              <w:t xml:space="preserve"> and WelTec</w:t>
            </w:r>
          </w:p>
          <w:p w14:paraId="2F31101F" w14:textId="392AE294" w:rsidR="001E4CD4" w:rsidRPr="008908E0" w:rsidRDefault="001E4CD4" w:rsidP="001E4CD4">
            <w:pPr>
              <w:pStyle w:val="ListParagraph"/>
              <w:numPr>
                <w:ilvl w:val="0"/>
                <w:numId w:val="3"/>
              </w:numPr>
              <w:spacing w:before="60" w:after="60"/>
              <w:ind w:left="340" w:hanging="340"/>
              <w:rPr>
                <w:sz w:val="20"/>
                <w:lang w:val="en-NZ"/>
              </w:rPr>
            </w:pPr>
            <w:r w:rsidRPr="008908E0">
              <w:rPr>
                <w:sz w:val="20"/>
                <w:lang w:val="en-NZ"/>
              </w:rPr>
              <w:t xml:space="preserve">Members of the </w:t>
            </w:r>
            <w:r w:rsidR="00356546">
              <w:rPr>
                <w:sz w:val="20"/>
                <w:lang w:val="en-NZ"/>
              </w:rPr>
              <w:t>Board/</w:t>
            </w:r>
            <w:r w:rsidRPr="008908E0">
              <w:rPr>
                <w:sz w:val="20"/>
                <w:lang w:val="en-NZ"/>
              </w:rPr>
              <w:t>Council</w:t>
            </w:r>
          </w:p>
        </w:tc>
      </w:tr>
      <w:tr w:rsidR="001E4CD4" w:rsidRPr="008908E0" w14:paraId="6075FD75" w14:textId="77777777" w:rsidTr="001E4CD4">
        <w:tc>
          <w:tcPr>
            <w:tcW w:w="1259" w:type="pct"/>
            <w:tcBorders>
              <w:top w:val="single" w:sz="4" w:space="0" w:color="auto"/>
              <w:left w:val="nil"/>
              <w:bottom w:val="single" w:sz="4" w:space="0" w:color="auto"/>
              <w:right w:val="nil"/>
            </w:tcBorders>
            <w:shd w:val="clear" w:color="auto" w:fill="FFFFFF" w:themeFill="background1"/>
            <w:vAlign w:val="center"/>
            <w:hideMark/>
          </w:tcPr>
          <w:p w14:paraId="3DDDDE2A" w14:textId="77777777" w:rsidR="001E4CD4" w:rsidRPr="008908E0" w:rsidRDefault="001E4CD4" w:rsidP="004373D4">
            <w:pPr>
              <w:spacing w:before="60" w:after="60"/>
              <w:ind w:left="37" w:hanging="19"/>
              <w:jc w:val="left"/>
              <w:rPr>
                <w:sz w:val="20"/>
                <w:lang w:val="en-NZ"/>
              </w:rPr>
            </w:pPr>
            <w:r w:rsidRPr="008908E0">
              <w:rPr>
                <w:sz w:val="20"/>
                <w:lang w:val="en-NZ"/>
              </w:rPr>
              <w:t>Key External Relationships</w:t>
            </w:r>
          </w:p>
        </w:tc>
        <w:tc>
          <w:tcPr>
            <w:tcW w:w="3741" w:type="pct"/>
            <w:tcBorders>
              <w:top w:val="single" w:sz="4" w:space="0" w:color="auto"/>
              <w:left w:val="nil"/>
              <w:bottom w:val="single" w:sz="4" w:space="0" w:color="auto"/>
              <w:right w:val="nil"/>
            </w:tcBorders>
            <w:shd w:val="clear" w:color="auto" w:fill="FFFFFF" w:themeFill="background1"/>
            <w:vAlign w:val="center"/>
            <w:hideMark/>
          </w:tcPr>
          <w:p w14:paraId="03A0BD3D" w14:textId="77777777" w:rsidR="001E4CD4" w:rsidRPr="008908E0" w:rsidRDefault="001E4CD4" w:rsidP="001E4CD4">
            <w:pPr>
              <w:pStyle w:val="ListParagraph"/>
              <w:widowControl w:val="0"/>
              <w:numPr>
                <w:ilvl w:val="0"/>
                <w:numId w:val="5"/>
              </w:numPr>
              <w:tabs>
                <w:tab w:val="left" w:pos="3423"/>
              </w:tabs>
              <w:spacing w:before="60" w:after="60"/>
              <w:ind w:left="340" w:hanging="340"/>
              <w:rPr>
                <w:rFonts w:eastAsia="Arial"/>
                <w:sz w:val="20"/>
                <w:szCs w:val="20"/>
                <w:lang w:val="en-NZ"/>
              </w:rPr>
            </w:pPr>
            <w:r w:rsidRPr="008908E0">
              <w:rPr>
                <w:sz w:val="20"/>
                <w:lang w:val="en-NZ"/>
              </w:rPr>
              <w:t>Sectoral groups and bodies.</w:t>
            </w:r>
          </w:p>
          <w:p w14:paraId="488887AE" w14:textId="77777777" w:rsidR="001E4CD4" w:rsidRPr="008908E0" w:rsidRDefault="001E4CD4" w:rsidP="001E4CD4">
            <w:pPr>
              <w:pStyle w:val="ListParagraph"/>
              <w:widowControl w:val="0"/>
              <w:numPr>
                <w:ilvl w:val="0"/>
                <w:numId w:val="5"/>
              </w:numPr>
              <w:tabs>
                <w:tab w:val="left" w:pos="3423"/>
              </w:tabs>
              <w:spacing w:before="60" w:after="60"/>
              <w:ind w:left="340" w:hanging="340"/>
              <w:rPr>
                <w:rFonts w:eastAsia="Arial"/>
                <w:sz w:val="20"/>
                <w:szCs w:val="20"/>
                <w:lang w:val="en-NZ"/>
              </w:rPr>
            </w:pPr>
            <w:r w:rsidRPr="008908E0">
              <w:rPr>
                <w:rFonts w:eastAsia="Arial"/>
                <w:sz w:val="20"/>
                <w:szCs w:val="20"/>
                <w:lang w:val="en-NZ"/>
              </w:rPr>
              <w:t>Industry groups and contacts</w:t>
            </w:r>
          </w:p>
          <w:p w14:paraId="38C9F2BB" w14:textId="77777777" w:rsidR="001E4CD4" w:rsidRPr="008908E0" w:rsidRDefault="001E4CD4" w:rsidP="001E4CD4">
            <w:pPr>
              <w:pStyle w:val="ListParagraph"/>
              <w:widowControl w:val="0"/>
              <w:numPr>
                <w:ilvl w:val="0"/>
                <w:numId w:val="5"/>
              </w:numPr>
              <w:tabs>
                <w:tab w:val="left" w:pos="3423"/>
              </w:tabs>
              <w:spacing w:before="60" w:after="60"/>
              <w:ind w:left="340" w:hanging="340"/>
              <w:rPr>
                <w:rFonts w:eastAsia="Arial"/>
                <w:sz w:val="20"/>
                <w:szCs w:val="20"/>
                <w:lang w:val="en-NZ"/>
              </w:rPr>
            </w:pPr>
            <w:r w:rsidRPr="008908E0">
              <w:rPr>
                <w:rFonts w:eastAsia="Arial"/>
                <w:sz w:val="20"/>
                <w:szCs w:val="20"/>
                <w:lang w:val="en-NZ"/>
              </w:rPr>
              <w:t>Government organisations</w:t>
            </w:r>
          </w:p>
          <w:p w14:paraId="3671C594" w14:textId="77777777" w:rsidR="001E4CD4" w:rsidRPr="008908E0" w:rsidRDefault="001E4CD4" w:rsidP="001E4CD4">
            <w:pPr>
              <w:pStyle w:val="ListParagraph"/>
              <w:widowControl w:val="0"/>
              <w:numPr>
                <w:ilvl w:val="0"/>
                <w:numId w:val="5"/>
              </w:numPr>
              <w:tabs>
                <w:tab w:val="left" w:pos="3423"/>
              </w:tabs>
              <w:spacing w:before="60" w:after="60"/>
              <w:ind w:left="340" w:hanging="340"/>
              <w:rPr>
                <w:rFonts w:eastAsia="Arial"/>
                <w:sz w:val="20"/>
                <w:szCs w:val="20"/>
                <w:lang w:val="en-NZ"/>
              </w:rPr>
            </w:pPr>
            <w:r w:rsidRPr="008908E0">
              <w:rPr>
                <w:rFonts w:eastAsia="Arial"/>
                <w:sz w:val="20"/>
                <w:szCs w:val="20"/>
                <w:lang w:val="en-NZ"/>
              </w:rPr>
              <w:t>Other ITPs and tertiary education institutions</w:t>
            </w:r>
          </w:p>
          <w:p w14:paraId="45B589D8" w14:textId="77777777" w:rsidR="001E4CD4" w:rsidRPr="008908E0" w:rsidRDefault="001E4CD4" w:rsidP="001E4CD4">
            <w:pPr>
              <w:pStyle w:val="ListParagraph"/>
              <w:widowControl w:val="0"/>
              <w:numPr>
                <w:ilvl w:val="0"/>
                <w:numId w:val="5"/>
              </w:numPr>
              <w:tabs>
                <w:tab w:val="left" w:pos="3423"/>
              </w:tabs>
              <w:spacing w:before="60" w:after="60"/>
              <w:ind w:left="340" w:hanging="340"/>
              <w:rPr>
                <w:rFonts w:eastAsiaTheme="minorHAnsi"/>
                <w:i/>
                <w:sz w:val="20"/>
                <w:lang w:val="en-NZ"/>
              </w:rPr>
            </w:pPr>
            <w:r w:rsidRPr="008908E0">
              <w:rPr>
                <w:rFonts w:eastAsia="Arial"/>
                <w:sz w:val="20"/>
                <w:szCs w:val="20"/>
                <w:lang w:val="en-NZ"/>
              </w:rPr>
              <w:t>Service providers</w:t>
            </w:r>
          </w:p>
        </w:tc>
      </w:tr>
    </w:tbl>
    <w:p w14:paraId="2989511D" w14:textId="77777777" w:rsidR="001E4CD4" w:rsidRDefault="001E4CD4" w:rsidP="001E4CD4">
      <w:pPr>
        <w:ind w:left="0"/>
        <w:rPr>
          <w:sz w:val="20"/>
          <w:lang w:val="en-NZ"/>
        </w:rPr>
      </w:pPr>
    </w:p>
    <w:p w14:paraId="13F996AF" w14:textId="77777777" w:rsidR="001E4CD4" w:rsidRPr="008908E0" w:rsidRDefault="001E4CD4" w:rsidP="001E4CD4">
      <w:pPr>
        <w:ind w:left="0"/>
        <w:rPr>
          <w:sz w:val="20"/>
          <w:lang w:val="en-NZ"/>
        </w:rPr>
      </w:pPr>
    </w:p>
    <w:tbl>
      <w:tblPr>
        <w:tblStyle w:val="TableGrid"/>
        <w:tblW w:w="5000" w:type="pct"/>
        <w:tblLook w:val="04A0" w:firstRow="1" w:lastRow="0" w:firstColumn="1" w:lastColumn="0" w:noHBand="0" w:noVBand="1"/>
      </w:tblPr>
      <w:tblGrid>
        <w:gridCol w:w="2273"/>
        <w:gridCol w:w="6753"/>
      </w:tblGrid>
      <w:tr w:rsidR="001E4CD4" w:rsidRPr="008908E0" w14:paraId="203493EF" w14:textId="77777777" w:rsidTr="001E4CD4">
        <w:tc>
          <w:tcPr>
            <w:tcW w:w="5000" w:type="pct"/>
            <w:gridSpan w:val="2"/>
            <w:tcBorders>
              <w:top w:val="single" w:sz="4" w:space="0" w:color="auto"/>
              <w:left w:val="nil"/>
              <w:bottom w:val="single" w:sz="4" w:space="0" w:color="auto"/>
              <w:right w:val="nil"/>
            </w:tcBorders>
            <w:shd w:val="clear" w:color="auto" w:fill="F2F2F2" w:themeFill="background1" w:themeFillShade="F2"/>
            <w:vAlign w:val="center"/>
            <w:hideMark/>
          </w:tcPr>
          <w:p w14:paraId="6916868C" w14:textId="77777777" w:rsidR="001E4CD4" w:rsidRPr="008908E0" w:rsidRDefault="001E4CD4" w:rsidP="001E4CD4">
            <w:pPr>
              <w:spacing w:before="60" w:after="60"/>
              <w:ind w:left="340" w:hanging="340"/>
              <w:rPr>
                <w:b/>
                <w:sz w:val="20"/>
                <w:lang w:val="en-NZ"/>
              </w:rPr>
            </w:pPr>
            <w:r w:rsidRPr="008908E0">
              <w:rPr>
                <w:b/>
                <w:sz w:val="20"/>
                <w:lang w:val="en-NZ"/>
              </w:rPr>
              <w:t xml:space="preserve">Person Specifications </w:t>
            </w:r>
          </w:p>
        </w:tc>
      </w:tr>
      <w:tr w:rsidR="001E4CD4" w:rsidRPr="008908E0" w14:paraId="782A86DA" w14:textId="77777777" w:rsidTr="001E4CD4">
        <w:tc>
          <w:tcPr>
            <w:tcW w:w="1259" w:type="pct"/>
            <w:tcBorders>
              <w:top w:val="single" w:sz="4" w:space="0" w:color="auto"/>
              <w:left w:val="nil"/>
              <w:bottom w:val="single" w:sz="4" w:space="0" w:color="auto"/>
              <w:right w:val="nil"/>
            </w:tcBorders>
            <w:shd w:val="clear" w:color="auto" w:fill="FFFFFF" w:themeFill="background1"/>
            <w:vAlign w:val="center"/>
            <w:hideMark/>
          </w:tcPr>
          <w:p w14:paraId="1C1C00F5" w14:textId="77777777" w:rsidR="001E4CD4" w:rsidRPr="008908E0" w:rsidRDefault="001E4CD4" w:rsidP="004373D4">
            <w:pPr>
              <w:spacing w:before="60" w:after="60"/>
              <w:ind w:left="37" w:hanging="19"/>
              <w:jc w:val="left"/>
              <w:rPr>
                <w:sz w:val="20"/>
                <w:lang w:val="en-NZ"/>
              </w:rPr>
            </w:pPr>
            <w:r w:rsidRPr="008908E0">
              <w:rPr>
                <w:sz w:val="20"/>
                <w:lang w:val="en-NZ"/>
              </w:rPr>
              <w:t>Qualifications &amp; Experience</w:t>
            </w:r>
          </w:p>
        </w:tc>
        <w:tc>
          <w:tcPr>
            <w:tcW w:w="3741" w:type="pct"/>
            <w:tcBorders>
              <w:top w:val="single" w:sz="4" w:space="0" w:color="auto"/>
              <w:left w:val="nil"/>
              <w:bottom w:val="single" w:sz="4" w:space="0" w:color="auto"/>
              <w:right w:val="nil"/>
            </w:tcBorders>
            <w:shd w:val="clear" w:color="auto" w:fill="FFFFFF" w:themeFill="background1"/>
            <w:vAlign w:val="center"/>
            <w:hideMark/>
          </w:tcPr>
          <w:p w14:paraId="795D7544" w14:textId="77777777" w:rsidR="001E4CD4" w:rsidRPr="008908E0" w:rsidRDefault="001E4CD4" w:rsidP="001E4CD4">
            <w:pPr>
              <w:pStyle w:val="ListParagraph"/>
              <w:numPr>
                <w:ilvl w:val="0"/>
                <w:numId w:val="2"/>
              </w:numPr>
              <w:spacing w:before="60" w:after="60"/>
              <w:ind w:left="340" w:hanging="340"/>
              <w:rPr>
                <w:rFonts w:asciiTheme="minorHAnsi" w:hAnsiTheme="minorHAnsi" w:cstheme="minorBidi"/>
                <w:lang w:val="en-NZ"/>
              </w:rPr>
            </w:pPr>
            <w:r w:rsidRPr="008908E0">
              <w:rPr>
                <w:sz w:val="20"/>
                <w:lang w:val="en-NZ"/>
              </w:rPr>
              <w:t xml:space="preserve">A tertiary level qualification in a discipline related to the </w:t>
            </w:r>
            <w:proofErr w:type="gramStart"/>
            <w:r w:rsidRPr="008908E0">
              <w:rPr>
                <w:sz w:val="20"/>
                <w:lang w:val="en-NZ"/>
              </w:rPr>
              <w:t>School</w:t>
            </w:r>
            <w:proofErr w:type="gramEnd"/>
            <w:r w:rsidRPr="008908E0">
              <w:rPr>
                <w:sz w:val="20"/>
                <w:lang w:val="en-NZ"/>
              </w:rPr>
              <w:t xml:space="preserve"> and/or equivalent educational delivery management experience in the relevant discipline area/s at a senior level.</w:t>
            </w:r>
          </w:p>
          <w:p w14:paraId="2AC74167" w14:textId="77777777" w:rsidR="001E4CD4" w:rsidRPr="00F02139" w:rsidRDefault="001E4CD4" w:rsidP="001E4CD4">
            <w:pPr>
              <w:pStyle w:val="ListParagraph"/>
              <w:numPr>
                <w:ilvl w:val="0"/>
                <w:numId w:val="2"/>
              </w:numPr>
              <w:spacing w:before="60" w:after="60"/>
              <w:ind w:left="340" w:hanging="340"/>
              <w:rPr>
                <w:lang w:val="en-NZ"/>
              </w:rPr>
            </w:pPr>
            <w:r w:rsidRPr="008908E0">
              <w:rPr>
                <w:sz w:val="20"/>
                <w:lang w:val="en-NZ"/>
              </w:rPr>
              <w:t>Proven experience in a senior management position with responsibility for complex and diverse operational delivery function, preferably in the education sector.</w:t>
            </w:r>
          </w:p>
          <w:p w14:paraId="1168AFBC" w14:textId="39389A0D" w:rsidR="00F02139" w:rsidRPr="008908E0" w:rsidRDefault="00F02139" w:rsidP="001E4CD4">
            <w:pPr>
              <w:pStyle w:val="ListParagraph"/>
              <w:numPr>
                <w:ilvl w:val="0"/>
                <w:numId w:val="2"/>
              </w:numPr>
              <w:spacing w:before="60" w:after="60"/>
              <w:ind w:left="340" w:hanging="340"/>
              <w:rPr>
                <w:lang w:val="en-NZ"/>
              </w:rPr>
            </w:pPr>
            <w:r w:rsidRPr="00F02139">
              <w:rPr>
                <w:sz w:val="20"/>
                <w:lang w:val="en-NZ"/>
              </w:rPr>
              <w:t>Proven leadership experience in a senior leadership role.</w:t>
            </w:r>
          </w:p>
        </w:tc>
      </w:tr>
      <w:tr w:rsidR="001E4CD4" w:rsidRPr="008908E0" w14:paraId="3715C3D0" w14:textId="77777777" w:rsidTr="001E4CD4">
        <w:tc>
          <w:tcPr>
            <w:tcW w:w="1259" w:type="pct"/>
            <w:tcBorders>
              <w:top w:val="single" w:sz="4" w:space="0" w:color="auto"/>
              <w:left w:val="nil"/>
              <w:bottom w:val="single" w:sz="4" w:space="0" w:color="auto"/>
              <w:right w:val="nil"/>
            </w:tcBorders>
            <w:shd w:val="clear" w:color="auto" w:fill="FFFFFF" w:themeFill="background1"/>
            <w:vAlign w:val="center"/>
            <w:hideMark/>
          </w:tcPr>
          <w:p w14:paraId="128444F2" w14:textId="77777777" w:rsidR="001E4CD4" w:rsidRPr="008908E0" w:rsidRDefault="001E4CD4" w:rsidP="004373D4">
            <w:pPr>
              <w:spacing w:before="60" w:after="60"/>
              <w:ind w:left="0" w:hanging="19"/>
              <w:jc w:val="left"/>
              <w:rPr>
                <w:sz w:val="20"/>
                <w:lang w:val="en-NZ"/>
              </w:rPr>
            </w:pPr>
            <w:r w:rsidRPr="008908E0">
              <w:rPr>
                <w:sz w:val="20"/>
                <w:lang w:val="en-NZ"/>
              </w:rPr>
              <w:t>Specialist Knowledge &amp; Skills</w:t>
            </w:r>
          </w:p>
        </w:tc>
        <w:tc>
          <w:tcPr>
            <w:tcW w:w="3741" w:type="pct"/>
            <w:tcBorders>
              <w:top w:val="single" w:sz="4" w:space="0" w:color="auto"/>
              <w:left w:val="nil"/>
              <w:bottom w:val="single" w:sz="4" w:space="0" w:color="auto"/>
              <w:right w:val="nil"/>
            </w:tcBorders>
            <w:shd w:val="clear" w:color="auto" w:fill="FFFFFF" w:themeFill="background1"/>
            <w:vAlign w:val="center"/>
            <w:hideMark/>
          </w:tcPr>
          <w:p w14:paraId="7755B32E" w14:textId="170CC242" w:rsidR="001E4CD4" w:rsidRPr="008908E0" w:rsidRDefault="001E4CD4" w:rsidP="001E4CD4">
            <w:pPr>
              <w:pStyle w:val="ListParagraph"/>
              <w:numPr>
                <w:ilvl w:val="0"/>
                <w:numId w:val="2"/>
              </w:numPr>
              <w:spacing w:before="60" w:after="60"/>
              <w:ind w:left="340" w:hanging="340"/>
              <w:rPr>
                <w:sz w:val="20"/>
                <w:lang w:val="en-NZ"/>
              </w:rPr>
            </w:pPr>
            <w:r w:rsidRPr="008908E0">
              <w:rPr>
                <w:sz w:val="20"/>
                <w:lang w:val="en-NZ"/>
              </w:rPr>
              <w:t xml:space="preserve">Proven ability to work effectively as a member of a senior leadership </w:t>
            </w:r>
            <w:proofErr w:type="gramStart"/>
            <w:r w:rsidRPr="008908E0">
              <w:rPr>
                <w:sz w:val="20"/>
                <w:lang w:val="en-NZ"/>
              </w:rPr>
              <w:t>team,</w:t>
            </w:r>
            <w:r w:rsidR="00006AAD">
              <w:rPr>
                <w:sz w:val="20"/>
                <w:lang w:val="en-NZ"/>
              </w:rPr>
              <w:t xml:space="preserve"> </w:t>
            </w:r>
            <w:r w:rsidRPr="008908E0">
              <w:rPr>
                <w:sz w:val="20"/>
                <w:lang w:val="en-NZ"/>
              </w:rPr>
              <w:t>and</w:t>
            </w:r>
            <w:proofErr w:type="gramEnd"/>
            <w:r w:rsidRPr="008908E0">
              <w:rPr>
                <w:sz w:val="20"/>
                <w:lang w:val="en-NZ"/>
              </w:rPr>
              <w:t xml:space="preserve"> provide effective operational leadership and innovative thinking to help shape and achieve organisational objectives.</w:t>
            </w:r>
          </w:p>
          <w:p w14:paraId="2DC7DF8D" w14:textId="77777777" w:rsidR="001E4CD4" w:rsidRPr="008908E0" w:rsidRDefault="001E4CD4" w:rsidP="001E4CD4">
            <w:pPr>
              <w:pStyle w:val="ListParagraph"/>
              <w:numPr>
                <w:ilvl w:val="0"/>
                <w:numId w:val="2"/>
              </w:numPr>
              <w:spacing w:before="60" w:after="60"/>
              <w:ind w:left="340" w:hanging="340"/>
              <w:rPr>
                <w:sz w:val="20"/>
                <w:lang w:val="en-NZ"/>
              </w:rPr>
            </w:pPr>
            <w:r w:rsidRPr="008908E0">
              <w:rPr>
                <w:sz w:val="20"/>
                <w:lang w:val="en-NZ"/>
              </w:rPr>
              <w:t xml:space="preserve">Demonstrated understanding of the principles of </w:t>
            </w:r>
            <w:proofErr w:type="spellStart"/>
            <w:r w:rsidRPr="008908E0">
              <w:rPr>
                <w:sz w:val="20"/>
                <w:lang w:val="en-NZ"/>
              </w:rPr>
              <w:t>te</w:t>
            </w:r>
            <w:proofErr w:type="spellEnd"/>
            <w:r w:rsidRPr="008908E0">
              <w:rPr>
                <w:sz w:val="20"/>
                <w:lang w:val="en-NZ"/>
              </w:rPr>
              <w:t xml:space="preserve"> </w:t>
            </w:r>
            <w:proofErr w:type="spellStart"/>
            <w:r w:rsidRPr="008908E0">
              <w:rPr>
                <w:sz w:val="20"/>
                <w:lang w:val="en-NZ"/>
              </w:rPr>
              <w:t>Tiriti</w:t>
            </w:r>
            <w:proofErr w:type="spellEnd"/>
            <w:r w:rsidRPr="008908E0">
              <w:rPr>
                <w:sz w:val="20"/>
                <w:lang w:val="en-NZ"/>
              </w:rPr>
              <w:t xml:space="preserve"> o Waitangi.</w:t>
            </w:r>
          </w:p>
          <w:p w14:paraId="67D7F72B" w14:textId="77777777" w:rsidR="001E4CD4" w:rsidRPr="008908E0" w:rsidRDefault="001E4CD4" w:rsidP="001E4CD4">
            <w:pPr>
              <w:pStyle w:val="ListParagraph"/>
              <w:numPr>
                <w:ilvl w:val="0"/>
                <w:numId w:val="2"/>
              </w:numPr>
              <w:spacing w:before="60" w:after="60"/>
              <w:ind w:left="340" w:hanging="340"/>
              <w:rPr>
                <w:sz w:val="20"/>
                <w:lang w:val="en-NZ"/>
              </w:rPr>
            </w:pPr>
            <w:r w:rsidRPr="008908E0">
              <w:rPr>
                <w:sz w:val="20"/>
                <w:lang w:val="en-NZ"/>
              </w:rPr>
              <w:t>Proven ability to lead and manage a large and diverse team across multiple sites.</w:t>
            </w:r>
          </w:p>
          <w:p w14:paraId="63320961" w14:textId="77777777" w:rsidR="001E4CD4" w:rsidRPr="008908E0" w:rsidRDefault="001E4CD4" w:rsidP="001E4CD4">
            <w:pPr>
              <w:pStyle w:val="ListParagraph"/>
              <w:numPr>
                <w:ilvl w:val="0"/>
                <w:numId w:val="2"/>
              </w:numPr>
              <w:spacing w:before="60" w:after="60"/>
              <w:ind w:left="340" w:hanging="340"/>
              <w:rPr>
                <w:sz w:val="20"/>
                <w:lang w:val="en-NZ"/>
              </w:rPr>
            </w:pPr>
            <w:r w:rsidRPr="008908E0">
              <w:rPr>
                <w:sz w:val="20"/>
                <w:lang w:val="en-NZ"/>
              </w:rPr>
              <w:t>A sound knowledge of the relevant sectors within the discipline area, and a sound personal reputation and credibility within these, to support the development of strong networks and relationships.</w:t>
            </w:r>
          </w:p>
          <w:p w14:paraId="119EC980" w14:textId="77777777" w:rsidR="001E4CD4" w:rsidRPr="008908E0" w:rsidRDefault="001E4CD4" w:rsidP="001E4CD4">
            <w:pPr>
              <w:pStyle w:val="ListParagraph"/>
              <w:numPr>
                <w:ilvl w:val="0"/>
                <w:numId w:val="2"/>
              </w:numPr>
              <w:spacing w:before="60" w:after="60"/>
              <w:ind w:left="340" w:hanging="340"/>
              <w:rPr>
                <w:sz w:val="20"/>
                <w:lang w:val="en-NZ"/>
              </w:rPr>
            </w:pPr>
            <w:r w:rsidRPr="008908E0">
              <w:rPr>
                <w:sz w:val="20"/>
                <w:lang w:val="en-NZ"/>
              </w:rPr>
              <w:t>A sound understanding of training and education practice.</w:t>
            </w:r>
          </w:p>
          <w:p w14:paraId="13A4DF43" w14:textId="77777777" w:rsidR="001E4CD4" w:rsidRPr="008908E0" w:rsidRDefault="001E4CD4" w:rsidP="001E4CD4">
            <w:pPr>
              <w:pStyle w:val="ListParagraph"/>
              <w:numPr>
                <w:ilvl w:val="0"/>
                <w:numId w:val="2"/>
              </w:numPr>
              <w:spacing w:before="60" w:after="60"/>
              <w:ind w:left="340" w:hanging="340"/>
              <w:rPr>
                <w:sz w:val="20"/>
                <w:lang w:val="en-NZ"/>
              </w:rPr>
            </w:pPr>
            <w:r w:rsidRPr="008908E0">
              <w:rPr>
                <w:sz w:val="20"/>
                <w:lang w:val="en-NZ"/>
              </w:rPr>
              <w:t>Budget and financial management.</w:t>
            </w:r>
          </w:p>
        </w:tc>
      </w:tr>
      <w:tr w:rsidR="001E4CD4" w:rsidRPr="008908E0" w14:paraId="0DE52627" w14:textId="77777777" w:rsidTr="001E4CD4">
        <w:tc>
          <w:tcPr>
            <w:tcW w:w="1259" w:type="pct"/>
            <w:tcBorders>
              <w:top w:val="single" w:sz="4" w:space="0" w:color="auto"/>
              <w:left w:val="nil"/>
              <w:bottom w:val="single" w:sz="4" w:space="0" w:color="auto"/>
              <w:right w:val="nil"/>
            </w:tcBorders>
            <w:shd w:val="clear" w:color="auto" w:fill="FFFFFF" w:themeFill="background1"/>
            <w:vAlign w:val="center"/>
            <w:hideMark/>
          </w:tcPr>
          <w:p w14:paraId="5905DE6C" w14:textId="77777777" w:rsidR="001E4CD4" w:rsidRPr="008908E0" w:rsidRDefault="001E4CD4" w:rsidP="001E4CD4">
            <w:pPr>
              <w:spacing w:before="60" w:after="60"/>
              <w:ind w:left="340" w:hanging="340"/>
              <w:jc w:val="left"/>
              <w:rPr>
                <w:sz w:val="20"/>
                <w:lang w:val="en-NZ"/>
              </w:rPr>
            </w:pPr>
            <w:r w:rsidRPr="008908E0">
              <w:rPr>
                <w:sz w:val="20"/>
                <w:lang w:val="en-NZ"/>
              </w:rPr>
              <w:t xml:space="preserve">Personal Attributes </w:t>
            </w:r>
          </w:p>
        </w:tc>
        <w:tc>
          <w:tcPr>
            <w:tcW w:w="3741" w:type="pct"/>
            <w:tcBorders>
              <w:top w:val="single" w:sz="4" w:space="0" w:color="auto"/>
              <w:left w:val="nil"/>
              <w:bottom w:val="single" w:sz="4" w:space="0" w:color="auto"/>
              <w:right w:val="nil"/>
            </w:tcBorders>
            <w:shd w:val="clear" w:color="auto" w:fill="FFFFFF" w:themeFill="background1"/>
            <w:vAlign w:val="center"/>
            <w:hideMark/>
          </w:tcPr>
          <w:p w14:paraId="5132C999" w14:textId="7D1FD83B" w:rsidR="001E4CD4" w:rsidRPr="008908E0" w:rsidRDefault="001E4CD4" w:rsidP="001E4CD4">
            <w:pPr>
              <w:pStyle w:val="ListParagraph"/>
              <w:numPr>
                <w:ilvl w:val="0"/>
                <w:numId w:val="2"/>
              </w:numPr>
              <w:spacing w:before="60" w:after="60"/>
              <w:ind w:left="340" w:hanging="340"/>
              <w:rPr>
                <w:sz w:val="20"/>
                <w:lang w:val="en-NZ"/>
              </w:rPr>
            </w:pPr>
            <w:r w:rsidRPr="008908E0">
              <w:rPr>
                <w:sz w:val="20"/>
                <w:lang w:val="en-NZ"/>
              </w:rPr>
              <w:t xml:space="preserve">Strong thinking and </w:t>
            </w:r>
            <w:r w:rsidR="00F02139" w:rsidRPr="008908E0">
              <w:rPr>
                <w:sz w:val="20"/>
                <w:lang w:val="en-NZ"/>
              </w:rPr>
              <w:t>problem-solving</w:t>
            </w:r>
            <w:r w:rsidRPr="008908E0">
              <w:rPr>
                <w:sz w:val="20"/>
                <w:lang w:val="en-NZ"/>
              </w:rPr>
              <w:t xml:space="preserve"> abilities, and decision</w:t>
            </w:r>
            <w:r w:rsidR="00006AAD">
              <w:rPr>
                <w:sz w:val="20"/>
                <w:lang w:val="en-NZ"/>
              </w:rPr>
              <w:t>-</w:t>
            </w:r>
            <w:r w:rsidRPr="008908E0">
              <w:rPr>
                <w:sz w:val="20"/>
                <w:lang w:val="en-NZ"/>
              </w:rPr>
              <w:t>making skills that demonstrate excellent judgement.</w:t>
            </w:r>
          </w:p>
          <w:p w14:paraId="246CCFCB" w14:textId="77777777" w:rsidR="001E4CD4" w:rsidRPr="008908E0" w:rsidRDefault="001E4CD4" w:rsidP="001E4CD4">
            <w:pPr>
              <w:pStyle w:val="ListParagraph"/>
              <w:numPr>
                <w:ilvl w:val="0"/>
                <w:numId w:val="2"/>
              </w:numPr>
              <w:spacing w:before="60" w:after="60"/>
              <w:ind w:left="340" w:hanging="340"/>
              <w:rPr>
                <w:sz w:val="20"/>
                <w:lang w:val="en-NZ"/>
              </w:rPr>
            </w:pPr>
            <w:r w:rsidRPr="008908E0">
              <w:rPr>
                <w:sz w:val="20"/>
                <w:lang w:val="en-NZ"/>
              </w:rPr>
              <w:t>The ability to think strategically and creatively about the future, and to develop and implement plans to achieve significant innovations and complex goals.</w:t>
            </w:r>
          </w:p>
          <w:p w14:paraId="7D6C7715" w14:textId="77777777" w:rsidR="001E4CD4" w:rsidRPr="008908E0" w:rsidRDefault="001E4CD4" w:rsidP="001E4CD4">
            <w:pPr>
              <w:pStyle w:val="ListParagraph"/>
              <w:numPr>
                <w:ilvl w:val="0"/>
                <w:numId w:val="2"/>
              </w:numPr>
              <w:spacing w:before="60" w:after="60"/>
              <w:ind w:left="340" w:hanging="340"/>
              <w:rPr>
                <w:sz w:val="20"/>
                <w:lang w:val="en-NZ"/>
              </w:rPr>
            </w:pPr>
            <w:r w:rsidRPr="008908E0">
              <w:rPr>
                <w:sz w:val="20"/>
                <w:lang w:val="en-NZ"/>
              </w:rPr>
              <w:t>A strong and consistent ability to engage others and build strong relationships based on honesty and trust at all levels of an organisation and externally.</w:t>
            </w:r>
          </w:p>
          <w:p w14:paraId="452166C0" w14:textId="77777777" w:rsidR="001E4CD4" w:rsidRPr="008908E0" w:rsidRDefault="001E4CD4" w:rsidP="001E4CD4">
            <w:pPr>
              <w:pStyle w:val="ListParagraph"/>
              <w:numPr>
                <w:ilvl w:val="0"/>
                <w:numId w:val="2"/>
              </w:numPr>
              <w:spacing w:before="60" w:after="60"/>
              <w:ind w:left="340" w:hanging="340"/>
              <w:rPr>
                <w:sz w:val="20"/>
                <w:lang w:val="en-NZ"/>
              </w:rPr>
            </w:pPr>
            <w:r w:rsidRPr="008908E0">
              <w:rPr>
                <w:sz w:val="20"/>
                <w:lang w:val="en-NZ"/>
              </w:rPr>
              <w:t>Energy, persistence and the ability to self-manage well.</w:t>
            </w:r>
          </w:p>
          <w:p w14:paraId="2D6FB2FC" w14:textId="77777777" w:rsidR="001E4CD4" w:rsidRPr="008908E0" w:rsidRDefault="001E4CD4" w:rsidP="001E4CD4">
            <w:pPr>
              <w:pStyle w:val="ListParagraph"/>
              <w:numPr>
                <w:ilvl w:val="0"/>
                <w:numId w:val="2"/>
              </w:numPr>
              <w:spacing w:before="60" w:after="60"/>
              <w:ind w:left="340" w:hanging="340"/>
              <w:rPr>
                <w:sz w:val="20"/>
                <w:lang w:val="en-NZ"/>
              </w:rPr>
            </w:pPr>
            <w:r w:rsidRPr="008908E0">
              <w:rPr>
                <w:sz w:val="20"/>
                <w:lang w:val="en-NZ"/>
              </w:rPr>
              <w:t>Excellent oral and written communications skills.</w:t>
            </w:r>
          </w:p>
          <w:p w14:paraId="31324238" w14:textId="77777777" w:rsidR="001E4CD4" w:rsidRPr="008908E0" w:rsidRDefault="001E4CD4" w:rsidP="001E4CD4">
            <w:pPr>
              <w:pStyle w:val="ListParagraph"/>
              <w:numPr>
                <w:ilvl w:val="0"/>
                <w:numId w:val="2"/>
              </w:numPr>
              <w:spacing w:before="60" w:after="60"/>
              <w:ind w:left="340" w:hanging="340"/>
              <w:rPr>
                <w:sz w:val="20"/>
                <w:lang w:val="en-NZ"/>
              </w:rPr>
            </w:pPr>
            <w:r w:rsidRPr="008908E0">
              <w:rPr>
                <w:sz w:val="20"/>
                <w:lang w:val="en-NZ"/>
              </w:rPr>
              <w:t>A focus on delivering on results and commitments.</w:t>
            </w:r>
          </w:p>
          <w:p w14:paraId="70231B8F" w14:textId="77777777" w:rsidR="001E4CD4" w:rsidRPr="008908E0" w:rsidRDefault="001E4CD4" w:rsidP="001E4CD4">
            <w:pPr>
              <w:pStyle w:val="ListParagraph"/>
              <w:numPr>
                <w:ilvl w:val="0"/>
                <w:numId w:val="2"/>
              </w:numPr>
              <w:spacing w:before="60" w:after="60"/>
              <w:ind w:left="340" w:hanging="340"/>
              <w:rPr>
                <w:sz w:val="20"/>
                <w:lang w:val="en-NZ"/>
              </w:rPr>
            </w:pPr>
            <w:r w:rsidRPr="008908E0">
              <w:rPr>
                <w:sz w:val="20"/>
                <w:lang w:val="en-NZ"/>
              </w:rPr>
              <w:t>Adaptability and a positive outlook.</w:t>
            </w:r>
          </w:p>
        </w:tc>
      </w:tr>
    </w:tbl>
    <w:p w14:paraId="2AF55A8B" w14:textId="77777777" w:rsidR="000B12EF" w:rsidRDefault="000B12EF" w:rsidP="001E4CD4">
      <w:pPr>
        <w:ind w:left="0"/>
      </w:pPr>
    </w:p>
    <w:sectPr w:rsidR="000B1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8"/>
    <w:multiLevelType w:val="multilevel"/>
    <w:tmpl w:val="00000008"/>
    <w:name w:val="WW8Num8"/>
    <w:lvl w:ilvl="0">
      <w:start w:val="1"/>
      <w:numFmt w:val="bullet"/>
      <w:lvlText w:val=""/>
      <w:lvlJc w:val="left"/>
      <w:pPr>
        <w:tabs>
          <w:tab w:val="num" w:pos="432"/>
        </w:tabs>
        <w:ind w:left="432" w:hanging="432"/>
      </w:pPr>
      <w:rPr>
        <w:rFonts w:ascii="Symbol" w:hAnsi="Symbol"/>
      </w:r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1">
    <w:nsid w:val="170E184A"/>
    <w:multiLevelType w:val="hybridMultilevel"/>
    <w:tmpl w:val="6480D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1">
    <w:nsid w:val="23A65402"/>
    <w:multiLevelType w:val="hybridMultilevel"/>
    <w:tmpl w:val="52FE38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1">
    <w:nsid w:val="27634D43"/>
    <w:multiLevelType w:val="hybridMultilevel"/>
    <w:tmpl w:val="84FAD9C0"/>
    <w:lvl w:ilvl="0" w:tplc="DFBAA6CC">
      <w:start w:val="1"/>
      <w:numFmt w:val="lowerRoman"/>
      <w:pStyle w:val="ListParagraph"/>
      <w:lvlText w:val="%1."/>
      <w:lvlJc w:val="right"/>
      <w:pPr>
        <w:ind w:left="1571" w:hanging="360"/>
      </w:p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4" w15:restartNumberingAfterBreak="1">
    <w:nsid w:val="4F180FFA"/>
    <w:multiLevelType w:val="hybridMultilevel"/>
    <w:tmpl w:val="57D8744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1">
    <w:nsid w:val="59F43EC5"/>
    <w:multiLevelType w:val="hybridMultilevel"/>
    <w:tmpl w:val="9248509A"/>
    <w:lvl w:ilvl="0" w:tplc="B4DCD1EE">
      <w:start w:val="1"/>
      <w:numFmt w:val="bullet"/>
      <w:lvlText w:val=""/>
      <w:lvlJc w:val="left"/>
      <w:pPr>
        <w:ind w:left="588" w:hanging="360"/>
      </w:pPr>
      <w:rPr>
        <w:rFonts w:ascii="Symbol" w:eastAsia="Symbol" w:hAnsi="Symbol" w:hint="default"/>
        <w:w w:val="100"/>
        <w:sz w:val="22"/>
        <w:szCs w:val="22"/>
      </w:rPr>
    </w:lvl>
    <w:lvl w:ilvl="1" w:tplc="3D3C7686">
      <w:start w:val="1"/>
      <w:numFmt w:val="bullet"/>
      <w:lvlText w:val="•"/>
      <w:lvlJc w:val="left"/>
      <w:pPr>
        <w:ind w:left="1149" w:hanging="360"/>
      </w:pPr>
    </w:lvl>
    <w:lvl w:ilvl="2" w:tplc="5B5C4E9C">
      <w:start w:val="1"/>
      <w:numFmt w:val="bullet"/>
      <w:lvlText w:val="•"/>
      <w:lvlJc w:val="left"/>
      <w:pPr>
        <w:ind w:left="1718" w:hanging="360"/>
      </w:pPr>
    </w:lvl>
    <w:lvl w:ilvl="3" w:tplc="2C4226F8">
      <w:start w:val="1"/>
      <w:numFmt w:val="bullet"/>
      <w:lvlText w:val="•"/>
      <w:lvlJc w:val="left"/>
      <w:pPr>
        <w:ind w:left="2287" w:hanging="360"/>
      </w:pPr>
    </w:lvl>
    <w:lvl w:ilvl="4" w:tplc="44D2927C">
      <w:start w:val="1"/>
      <w:numFmt w:val="bullet"/>
      <w:lvlText w:val="•"/>
      <w:lvlJc w:val="left"/>
      <w:pPr>
        <w:ind w:left="2856" w:hanging="360"/>
      </w:pPr>
    </w:lvl>
    <w:lvl w:ilvl="5" w:tplc="38C2EED0">
      <w:start w:val="1"/>
      <w:numFmt w:val="bullet"/>
      <w:lvlText w:val="•"/>
      <w:lvlJc w:val="left"/>
      <w:pPr>
        <w:ind w:left="3425" w:hanging="360"/>
      </w:pPr>
    </w:lvl>
    <w:lvl w:ilvl="6" w:tplc="44085166">
      <w:start w:val="1"/>
      <w:numFmt w:val="bullet"/>
      <w:lvlText w:val="•"/>
      <w:lvlJc w:val="left"/>
      <w:pPr>
        <w:ind w:left="3995" w:hanging="360"/>
      </w:pPr>
    </w:lvl>
    <w:lvl w:ilvl="7" w:tplc="31783A74">
      <w:start w:val="1"/>
      <w:numFmt w:val="bullet"/>
      <w:lvlText w:val="•"/>
      <w:lvlJc w:val="left"/>
      <w:pPr>
        <w:ind w:left="4564" w:hanging="360"/>
      </w:pPr>
    </w:lvl>
    <w:lvl w:ilvl="8" w:tplc="FFA04A6E">
      <w:start w:val="1"/>
      <w:numFmt w:val="bullet"/>
      <w:lvlText w:val="•"/>
      <w:lvlJc w:val="left"/>
      <w:pPr>
        <w:ind w:left="5133" w:hanging="360"/>
      </w:pPr>
    </w:lvl>
  </w:abstractNum>
  <w:num w:numId="1" w16cid:durableId="1045183397">
    <w:abstractNumId w:val="0"/>
    <w:lvlOverride w:ilvl="0"/>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884336">
    <w:abstractNumId w:val="2"/>
  </w:num>
  <w:num w:numId="3" w16cid:durableId="259610046">
    <w:abstractNumId w:val="4"/>
  </w:num>
  <w:num w:numId="4" w16cid:durableId="54088530">
    <w:abstractNumId w:val="5"/>
  </w:num>
  <w:num w:numId="5" w16cid:durableId="813837078">
    <w:abstractNumId w:val="1"/>
  </w:num>
  <w:num w:numId="6" w16cid:durableId="831606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D4"/>
    <w:rsid w:val="00006AAD"/>
    <w:rsid w:val="00007FCF"/>
    <w:rsid w:val="00010C78"/>
    <w:rsid w:val="000B12EF"/>
    <w:rsid w:val="001E4CD4"/>
    <w:rsid w:val="00211B18"/>
    <w:rsid w:val="002E48D8"/>
    <w:rsid w:val="00356546"/>
    <w:rsid w:val="003F78C6"/>
    <w:rsid w:val="00410D3D"/>
    <w:rsid w:val="004373D4"/>
    <w:rsid w:val="00491F58"/>
    <w:rsid w:val="00514DF9"/>
    <w:rsid w:val="00525FAF"/>
    <w:rsid w:val="005362F2"/>
    <w:rsid w:val="005A2CF7"/>
    <w:rsid w:val="005E2A46"/>
    <w:rsid w:val="00623762"/>
    <w:rsid w:val="006D7BE5"/>
    <w:rsid w:val="006F5BB7"/>
    <w:rsid w:val="00714A7A"/>
    <w:rsid w:val="00722853"/>
    <w:rsid w:val="007363FB"/>
    <w:rsid w:val="007D4DDF"/>
    <w:rsid w:val="00855690"/>
    <w:rsid w:val="008B1A3A"/>
    <w:rsid w:val="00910B28"/>
    <w:rsid w:val="0093360F"/>
    <w:rsid w:val="00972A64"/>
    <w:rsid w:val="009F38D7"/>
    <w:rsid w:val="00B20846"/>
    <w:rsid w:val="00B36564"/>
    <w:rsid w:val="00B92A72"/>
    <w:rsid w:val="00BF0B06"/>
    <w:rsid w:val="00C14C66"/>
    <w:rsid w:val="00C55825"/>
    <w:rsid w:val="00CC3F89"/>
    <w:rsid w:val="00D0125B"/>
    <w:rsid w:val="00D31BA4"/>
    <w:rsid w:val="00D449E6"/>
    <w:rsid w:val="00D51475"/>
    <w:rsid w:val="00D57924"/>
    <w:rsid w:val="00D65673"/>
    <w:rsid w:val="00DB4367"/>
    <w:rsid w:val="00DD2722"/>
    <w:rsid w:val="00F02139"/>
    <w:rsid w:val="00F02412"/>
    <w:rsid w:val="00F1159F"/>
    <w:rsid w:val="00F42526"/>
    <w:rsid w:val="00F5278C"/>
    <w:rsid w:val="1E82A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6666"/>
  <w15:chartTrackingRefBased/>
  <w15:docId w15:val="{8E552BF7-059D-49E4-AE40-2368940D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CD4"/>
    <w:pPr>
      <w:spacing w:after="0" w:line="240" w:lineRule="auto"/>
      <w:ind w:left="567"/>
      <w:jc w:val="both"/>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CD4"/>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E4CD4"/>
    <w:pPr>
      <w:numPr>
        <w:numId w:val="6"/>
      </w:numPr>
      <w:contextualSpacing/>
    </w:pPr>
  </w:style>
  <w:style w:type="character" w:customStyle="1" w:styleId="ListParagraphChar">
    <w:name w:val="List Paragraph Char"/>
    <w:basedOn w:val="DefaultParagraphFont"/>
    <w:link w:val="ListParagraph"/>
    <w:uiPriority w:val="34"/>
    <w:rsid w:val="001E4CD4"/>
    <w:rPr>
      <w:rFonts w:ascii="Arial" w:eastAsia="Times New Roman" w:hAnsi="Arial" w:cs="Arial"/>
      <w:lang w:val="en-GB"/>
    </w:rPr>
  </w:style>
  <w:style w:type="paragraph" w:customStyle="1" w:styleId="TableParagraph">
    <w:name w:val="Table Paragraph"/>
    <w:basedOn w:val="Normal"/>
    <w:uiPriority w:val="1"/>
    <w:qFormat/>
    <w:rsid w:val="001E4CD4"/>
    <w:pPr>
      <w:widowControl w:val="0"/>
      <w:jc w:val="left"/>
    </w:pPr>
    <w:rPr>
      <w:rFonts w:asciiTheme="minorHAnsi" w:eastAsiaTheme="minorHAnsi" w:hAnsiTheme="minorHAnsi" w:cstheme="minorBidi"/>
      <w:lang w:val="en-US"/>
    </w:rPr>
  </w:style>
  <w:style w:type="paragraph" w:styleId="BodyText">
    <w:name w:val="Body Text"/>
    <w:basedOn w:val="Normal"/>
    <w:link w:val="BodyTextChar"/>
    <w:uiPriority w:val="1"/>
    <w:qFormat/>
    <w:rsid w:val="00B36564"/>
    <w:pPr>
      <w:widowControl w:val="0"/>
      <w:autoSpaceDE w:val="0"/>
      <w:autoSpaceDN w:val="0"/>
      <w:ind w:left="0"/>
    </w:pPr>
    <w:rPr>
      <w:rFonts w:eastAsia="Arial"/>
      <w:sz w:val="20"/>
      <w:szCs w:val="20"/>
      <w:lang w:val="en-US"/>
    </w:rPr>
  </w:style>
  <w:style w:type="character" w:customStyle="1" w:styleId="BodyTextChar">
    <w:name w:val="Body Text Char"/>
    <w:basedOn w:val="DefaultParagraphFont"/>
    <w:link w:val="BodyText"/>
    <w:uiPriority w:val="1"/>
    <w:rsid w:val="00B36564"/>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d09a9a954285b704e87c7d35b257b74a">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cf580e8b8f0ad606b411765ec0391ab6"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Type xmlns="d979e45d-5d3b-43db-8acc-7add74b76178" xsi:nil="true"/>
    <Year xmlns="d979e45d-5d3b-43db-8acc-7add74b76178">2020</Year>
    <DocType xmlns="d979e45d-5d3b-43db-8acc-7add74b76178" xsi:nil="true"/>
    <Institute xmlns="d979e45d-5d3b-43db-8acc-7add74b76178" xsi:nil="true"/>
    <lcf76f155ced4ddcb4097134ff3c332f xmlns="d979e45d-5d3b-43db-8acc-7add74b76178">
      <Terms xmlns="http://schemas.microsoft.com/office/infopath/2007/PartnerControls"/>
    </lcf76f155ced4ddcb4097134ff3c332f>
    <n60c xmlns="d979e45d-5d3b-43db-8acc-7add74b76178" xsi:nil="true"/>
    <TaxCatchAll xmlns="9aab05a4-f69f-4578-8010-2f9333d17920" xsi:nil="true"/>
    <_Flow_SignoffStatus xmlns="d979e45d-5d3b-43db-8acc-7add74b76178" xsi:nil="true"/>
    <Date xmlns="d979e45d-5d3b-43db-8acc-7add74b76178" xsi:nil="true"/>
    <Manager_x002f_area xmlns="d979e45d-5d3b-43db-8acc-7add74b76178" xsi:nil="true"/>
    <Status2 xmlns="d979e45d-5d3b-43db-8acc-7add74b76178" xsi:nil="true"/>
  </documentManagement>
</p:properties>
</file>

<file path=customXml/itemProps1.xml><?xml version="1.0" encoding="utf-8"?>
<ds:datastoreItem xmlns:ds="http://schemas.openxmlformats.org/officeDocument/2006/customXml" ds:itemID="{EDDF4E20-E538-4C24-ADEE-B4B882E42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9e45d-5d3b-43db-8acc-7add74b76178"/>
    <ds:schemaRef ds:uri="9aab05a4-f69f-4578-8010-2f9333d17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FC894-C27A-4801-8E2F-31A070B39B09}">
  <ds:schemaRefs>
    <ds:schemaRef ds:uri="http://schemas.microsoft.com/sharepoint/v3/contenttype/forms"/>
  </ds:schemaRefs>
</ds:datastoreItem>
</file>

<file path=customXml/itemProps3.xml><?xml version="1.0" encoding="utf-8"?>
<ds:datastoreItem xmlns:ds="http://schemas.openxmlformats.org/officeDocument/2006/customXml" ds:itemID="{4C2DC513-04D2-4A90-A584-95F85C124E37}">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W2 Shared Services</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Rachel</dc:creator>
  <cp:keywords/>
  <dc:description/>
  <cp:lastModifiedBy>Ida Saidon</cp:lastModifiedBy>
  <cp:revision>2</cp:revision>
  <dcterms:created xsi:type="dcterms:W3CDTF">2026-04-19T23:40:00Z</dcterms:created>
  <dcterms:modified xsi:type="dcterms:W3CDTF">2026-04-19T23:40:00Z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_ModerationStatus">
    <vt:lpwstr>0</vt:lpwstr>
  </property>
  <property fmtid="{D5CDD505-2E9C-101B-9397-08002B2CF9AE}" pid="4" name="MediaServiceImageTags">
    <vt:lpwstr/>
  </property>
</Properties>
</file>